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33F" w:rsidRPr="002F32BB" w:rsidRDefault="000C533F" w:rsidP="00AA3882">
      <w:pPr>
        <w:spacing w:after="0" w:line="240" w:lineRule="auto"/>
        <w:jc w:val="center"/>
        <w:rPr>
          <w:rFonts w:ascii="Times New Roman" w:hAnsi="Times New Roman" w:cs="Times New Roman"/>
          <w:b/>
          <w:sz w:val="24"/>
          <w:szCs w:val="24"/>
        </w:rPr>
      </w:pPr>
      <w:r w:rsidRPr="001208DD">
        <w:rPr>
          <w:rFonts w:ascii="Times New Roman" w:hAnsi="Times New Roman" w:cs="Times New Roman"/>
          <w:b/>
          <w:sz w:val="24"/>
          <w:szCs w:val="24"/>
        </w:rPr>
        <w:t>EL DERECHO DE VOTO DE LAS PERSONAS CON DISCAPACIDAD</w:t>
      </w:r>
      <w:r w:rsidR="00795C21">
        <w:rPr>
          <w:rFonts w:ascii="Times New Roman" w:hAnsi="Times New Roman" w:cs="Times New Roman"/>
          <w:b/>
          <w:sz w:val="24"/>
          <w:szCs w:val="24"/>
        </w:rPr>
        <w:t xml:space="preserve"> Y, EN ESPECIAL, DE LAS PERSONAS CON DISCAPACIDAD PSÍQUICA O </w:t>
      </w:r>
      <w:r w:rsidR="00983E6C">
        <w:rPr>
          <w:rFonts w:ascii="Times New Roman" w:hAnsi="Times New Roman" w:cs="Times New Roman"/>
          <w:b/>
          <w:sz w:val="24"/>
          <w:szCs w:val="24"/>
        </w:rPr>
        <w:t>INTELECTUAL</w:t>
      </w:r>
      <w:r w:rsidR="00795C21">
        <w:rPr>
          <w:rFonts w:ascii="Times New Roman" w:hAnsi="Times New Roman" w:cs="Times New Roman"/>
          <w:b/>
          <w:sz w:val="24"/>
          <w:szCs w:val="24"/>
        </w:rPr>
        <w:t>,</w:t>
      </w:r>
      <w:r w:rsidRPr="001208DD">
        <w:rPr>
          <w:rFonts w:ascii="Times New Roman" w:hAnsi="Times New Roman" w:cs="Times New Roman"/>
          <w:b/>
          <w:sz w:val="24"/>
          <w:szCs w:val="24"/>
        </w:rPr>
        <w:t xml:space="preserve"> </w:t>
      </w:r>
      <w:r w:rsidR="00795C21">
        <w:rPr>
          <w:rFonts w:ascii="Times New Roman" w:hAnsi="Times New Roman" w:cs="Times New Roman"/>
          <w:b/>
          <w:sz w:val="24"/>
          <w:szCs w:val="24"/>
        </w:rPr>
        <w:t>DESDE LA ÓPTICA DEL</w:t>
      </w:r>
      <w:r w:rsidRPr="001208DD">
        <w:rPr>
          <w:rFonts w:ascii="Times New Roman" w:hAnsi="Times New Roman" w:cs="Times New Roman"/>
          <w:b/>
          <w:sz w:val="24"/>
          <w:szCs w:val="24"/>
        </w:rPr>
        <w:t xml:space="preserve"> DERECHO INTERNACIONAL PÚBLICO</w:t>
      </w:r>
      <w:r w:rsidR="00951DD6">
        <w:rPr>
          <w:rFonts w:ascii="Times New Roman" w:hAnsi="Times New Roman" w:cs="Times New Roman"/>
          <w:b/>
          <w:sz w:val="24"/>
          <w:szCs w:val="24"/>
        </w:rPr>
        <w:t xml:space="preserve">. </w:t>
      </w:r>
      <w:proofErr w:type="gramStart"/>
      <w:r w:rsidR="00951DD6" w:rsidRPr="00951DD6">
        <w:rPr>
          <w:rFonts w:ascii="Times New Roman" w:hAnsi="Times New Roman" w:cs="Times New Roman"/>
          <w:b/>
          <w:sz w:val="24"/>
          <w:szCs w:val="24"/>
          <w:lang w:val="en-US"/>
        </w:rPr>
        <w:t>SU RECEPCI</w:t>
      </w:r>
      <w:r w:rsidR="00951DD6">
        <w:rPr>
          <w:rFonts w:ascii="Times New Roman" w:hAnsi="Times New Roman" w:cs="Times New Roman"/>
          <w:b/>
          <w:sz w:val="24"/>
          <w:szCs w:val="24"/>
          <w:lang w:val="en-US"/>
        </w:rPr>
        <w:t>ÓN EN ESPAÑA</w:t>
      </w:r>
      <w:r w:rsidR="001D0CC8" w:rsidRPr="00951DD6">
        <w:rPr>
          <w:rFonts w:ascii="Times New Roman" w:hAnsi="Times New Roman" w:cs="Times New Roman"/>
          <w:b/>
          <w:sz w:val="24"/>
          <w:szCs w:val="24"/>
          <w:lang w:val="en-US"/>
        </w:rPr>
        <w:t xml:space="preserve"> </w:t>
      </w:r>
      <w:r w:rsidR="009A4D20" w:rsidRPr="00951DD6">
        <w:rPr>
          <w:rFonts w:ascii="Times New Roman" w:hAnsi="Times New Roman" w:cs="Times New Roman"/>
          <w:b/>
          <w:sz w:val="24"/>
          <w:szCs w:val="24"/>
          <w:lang w:val="en-US"/>
        </w:rPr>
        <w:t xml:space="preserve">/ </w:t>
      </w:r>
      <w:r w:rsidR="001D0CC8" w:rsidRPr="00951DD6">
        <w:rPr>
          <w:rFonts w:ascii="Times New Roman" w:hAnsi="Times New Roman" w:cs="Times New Roman"/>
          <w:b/>
          <w:sz w:val="24"/>
          <w:szCs w:val="24"/>
          <w:lang w:val="en-US"/>
        </w:rPr>
        <w:t xml:space="preserve">THE RIGHT TO VOTE </w:t>
      </w:r>
      <w:r w:rsidR="00C33177" w:rsidRPr="00951DD6">
        <w:rPr>
          <w:rFonts w:ascii="Times New Roman" w:hAnsi="Times New Roman" w:cs="Times New Roman"/>
          <w:b/>
          <w:sz w:val="24"/>
          <w:szCs w:val="24"/>
          <w:lang w:val="en-US"/>
        </w:rPr>
        <w:t>OF</w:t>
      </w:r>
      <w:r w:rsidR="001D0CC8" w:rsidRPr="00951DD6">
        <w:rPr>
          <w:rFonts w:ascii="Times New Roman" w:hAnsi="Times New Roman" w:cs="Times New Roman"/>
          <w:b/>
          <w:sz w:val="24"/>
          <w:szCs w:val="24"/>
          <w:lang w:val="en-US"/>
        </w:rPr>
        <w:t xml:space="preserve"> PERSONS WITH DISABILITIE</w:t>
      </w:r>
      <w:r w:rsidR="00951DD6" w:rsidRPr="00951DD6">
        <w:rPr>
          <w:rFonts w:ascii="Times New Roman" w:hAnsi="Times New Roman" w:cs="Times New Roman"/>
          <w:b/>
          <w:sz w:val="24"/>
          <w:szCs w:val="24"/>
          <w:lang w:val="en-US"/>
        </w:rPr>
        <w:t xml:space="preserve">S AND, SPECIALLY, OF PERSONS WITH MENTAL AND INTELLECTUAL DISABILITIES </w:t>
      </w:r>
      <w:r w:rsidR="001D0CC8" w:rsidRPr="00951DD6">
        <w:rPr>
          <w:rFonts w:ascii="Times New Roman" w:hAnsi="Times New Roman" w:cs="Times New Roman"/>
          <w:b/>
          <w:sz w:val="24"/>
          <w:szCs w:val="24"/>
          <w:lang w:val="en-US"/>
        </w:rPr>
        <w:t xml:space="preserve">S IN </w:t>
      </w:r>
      <w:r w:rsidR="00883600" w:rsidRPr="00951DD6">
        <w:rPr>
          <w:rFonts w:ascii="Times New Roman" w:hAnsi="Times New Roman" w:cs="Times New Roman"/>
          <w:b/>
          <w:sz w:val="24"/>
          <w:szCs w:val="24"/>
          <w:lang w:val="en-US"/>
        </w:rPr>
        <w:t xml:space="preserve">PUBLIC </w:t>
      </w:r>
      <w:r w:rsidR="001D0CC8" w:rsidRPr="00951DD6">
        <w:rPr>
          <w:rFonts w:ascii="Times New Roman" w:hAnsi="Times New Roman" w:cs="Times New Roman"/>
          <w:b/>
          <w:sz w:val="24"/>
          <w:szCs w:val="24"/>
          <w:lang w:val="en-US"/>
        </w:rPr>
        <w:t>INTERNATIONAL LAW</w:t>
      </w:r>
      <w:r w:rsidR="00951DD6">
        <w:rPr>
          <w:rFonts w:ascii="Times New Roman" w:hAnsi="Times New Roman" w:cs="Times New Roman"/>
          <w:b/>
          <w:sz w:val="24"/>
          <w:szCs w:val="24"/>
          <w:lang w:val="en-US"/>
        </w:rPr>
        <w:t>.</w:t>
      </w:r>
      <w:proofErr w:type="gramEnd"/>
      <w:r w:rsidR="00951DD6">
        <w:rPr>
          <w:rFonts w:ascii="Times New Roman" w:hAnsi="Times New Roman" w:cs="Times New Roman"/>
          <w:b/>
          <w:sz w:val="24"/>
          <w:szCs w:val="24"/>
          <w:lang w:val="en-US"/>
        </w:rPr>
        <w:t xml:space="preserve"> </w:t>
      </w:r>
      <w:r w:rsidR="001D0CC8" w:rsidRPr="002F32BB">
        <w:rPr>
          <w:rFonts w:ascii="Times New Roman" w:hAnsi="Times New Roman" w:cs="Times New Roman"/>
          <w:b/>
          <w:sz w:val="24"/>
          <w:szCs w:val="24"/>
        </w:rPr>
        <w:t>ITS RECEPTION IN SPAIN.</w:t>
      </w:r>
    </w:p>
    <w:p w:rsidR="001D0CC8" w:rsidRPr="002F32BB" w:rsidRDefault="001D0CC8" w:rsidP="00AA3882">
      <w:pPr>
        <w:spacing w:after="0" w:line="240" w:lineRule="auto"/>
      </w:pPr>
      <w:r w:rsidRPr="002F32BB">
        <w:tab/>
      </w:r>
    </w:p>
    <w:p w:rsidR="00AA4612" w:rsidRPr="00032D45" w:rsidRDefault="00AA4612" w:rsidP="00CC01B7">
      <w:pPr>
        <w:shd w:val="clear" w:color="auto" w:fill="FFFFFF" w:themeFill="background1"/>
        <w:spacing w:after="0"/>
        <w:rPr>
          <w:rFonts w:ascii="Arial" w:hAnsi="Arial" w:cs="Arial"/>
          <w:b/>
        </w:rPr>
      </w:pPr>
      <w:r w:rsidRPr="00032D45">
        <w:rPr>
          <w:rFonts w:ascii="Arial" w:hAnsi="Arial" w:cs="Arial"/>
          <w:b/>
        </w:rPr>
        <w:t>AUTOR</w:t>
      </w:r>
    </w:p>
    <w:p w:rsidR="00AA4612" w:rsidRPr="00032D45" w:rsidRDefault="00AA4612" w:rsidP="00CC01B7">
      <w:pPr>
        <w:shd w:val="clear" w:color="auto" w:fill="FFFFFF" w:themeFill="background1"/>
        <w:spacing w:after="0"/>
        <w:rPr>
          <w:rFonts w:ascii="Arial" w:hAnsi="Arial" w:cs="Arial"/>
        </w:rPr>
      </w:pPr>
    </w:p>
    <w:p w:rsidR="00AA4612" w:rsidRPr="00032D45" w:rsidRDefault="00AA4612" w:rsidP="00CC01B7">
      <w:pPr>
        <w:shd w:val="clear" w:color="auto" w:fill="FFFFFF" w:themeFill="background1"/>
        <w:spacing w:after="0"/>
        <w:rPr>
          <w:rFonts w:ascii="Arial" w:eastAsia="Times New Roman" w:hAnsi="Arial" w:cs="Arial"/>
          <w:color w:val="111111"/>
          <w:lang w:eastAsia="es-ES"/>
        </w:rPr>
      </w:pPr>
      <w:r w:rsidRPr="000618D8">
        <w:rPr>
          <w:rFonts w:ascii="Arial" w:eastAsia="Times New Roman" w:hAnsi="Arial" w:cs="Arial"/>
          <w:b/>
          <w:color w:val="111111"/>
          <w:lang w:eastAsia="es-ES"/>
        </w:rPr>
        <w:t>Víctor Carlos Pascual Planchuelo</w:t>
      </w:r>
      <w:r w:rsidRPr="00032D45">
        <w:rPr>
          <w:rFonts w:ascii="Arial" w:eastAsia="Times New Roman" w:hAnsi="Arial" w:cs="Arial"/>
          <w:color w:val="111111"/>
          <w:lang w:eastAsia="es-ES"/>
        </w:rPr>
        <w:t>. Profesor Asociado de Derecho Internacional Público en la Universidad Complutense de Madrid.</w:t>
      </w:r>
      <w:r w:rsidR="000618D8">
        <w:rPr>
          <w:rFonts w:ascii="Arial" w:eastAsia="Times New Roman" w:hAnsi="Arial" w:cs="Arial"/>
          <w:color w:val="111111"/>
          <w:lang w:eastAsia="es-ES"/>
        </w:rPr>
        <w:t xml:space="preserve"> Doctor en Derecho internacional público con la tesis: “</w:t>
      </w:r>
      <w:r w:rsidR="000618D8" w:rsidRPr="00032D45">
        <w:rPr>
          <w:rFonts w:ascii="Arial" w:hAnsi="Arial" w:cs="Arial"/>
          <w:i/>
        </w:rPr>
        <w:t>La observación electoral internacional de las organizaciones intergubernamentales. Su alcance en Derecho internacional público y en la generación del derecho a la democracia</w:t>
      </w:r>
      <w:r w:rsidR="000618D8">
        <w:rPr>
          <w:rFonts w:ascii="Arial" w:hAnsi="Arial" w:cs="Arial"/>
          <w:i/>
        </w:rPr>
        <w:t>”</w:t>
      </w:r>
      <w:r w:rsidR="000618D8">
        <w:rPr>
          <w:rFonts w:ascii="Arial" w:hAnsi="Arial" w:cs="Arial"/>
        </w:rPr>
        <w:t xml:space="preserve">. Especialista en asuntos electorales, con experiencia como observador internacional en diferentes países con la Unión Europea, la Organización para la Seguridad y Cooperación en Europa y la Organización de Estados Americanos. Consultor jurídico de diversas organizaciones en el ámbito de los derechos humanos. </w:t>
      </w:r>
      <w:r w:rsidR="000618D8">
        <w:rPr>
          <w:rFonts w:ascii="Arial" w:eastAsia="Times New Roman" w:hAnsi="Arial" w:cs="Arial"/>
          <w:color w:val="111111"/>
          <w:lang w:eastAsia="es-ES"/>
        </w:rPr>
        <w:t>Email: victorcp@ucm.es.</w:t>
      </w:r>
    </w:p>
    <w:p w:rsidR="00011938" w:rsidRPr="00032D45" w:rsidRDefault="00011938" w:rsidP="00CC01B7">
      <w:pPr>
        <w:shd w:val="clear" w:color="auto" w:fill="FFFFFF" w:themeFill="background1"/>
        <w:spacing w:after="0"/>
        <w:rPr>
          <w:rFonts w:ascii="Arial" w:hAnsi="Arial" w:cs="Arial"/>
        </w:rPr>
      </w:pPr>
    </w:p>
    <w:p w:rsidR="009A4D20" w:rsidRPr="00CC7E94" w:rsidRDefault="009A4D20" w:rsidP="00CC01B7">
      <w:pPr>
        <w:shd w:val="clear" w:color="auto" w:fill="FFFFFF" w:themeFill="background1"/>
        <w:spacing w:after="0"/>
        <w:rPr>
          <w:rFonts w:ascii="Arial" w:hAnsi="Arial" w:cs="Arial"/>
        </w:rPr>
      </w:pPr>
    </w:p>
    <w:p w:rsidR="001D0CC8" w:rsidRPr="00032D45" w:rsidRDefault="001D0CC8" w:rsidP="00CC01B7">
      <w:pPr>
        <w:shd w:val="clear" w:color="auto" w:fill="FFFFFF" w:themeFill="background1"/>
        <w:spacing w:after="0"/>
        <w:rPr>
          <w:rFonts w:ascii="Arial" w:hAnsi="Arial" w:cs="Arial"/>
          <w:b/>
        </w:rPr>
      </w:pPr>
      <w:r w:rsidRPr="00032D45">
        <w:rPr>
          <w:rFonts w:ascii="Arial" w:hAnsi="Arial" w:cs="Arial"/>
          <w:b/>
        </w:rPr>
        <w:t>RESUMEN</w:t>
      </w:r>
    </w:p>
    <w:p w:rsidR="00AA3882" w:rsidRPr="00032D45" w:rsidRDefault="00AA3882" w:rsidP="00CC01B7">
      <w:pPr>
        <w:shd w:val="clear" w:color="auto" w:fill="FFFFFF" w:themeFill="background1"/>
        <w:spacing w:after="0"/>
        <w:rPr>
          <w:rFonts w:ascii="Arial" w:hAnsi="Arial" w:cs="Arial"/>
        </w:rPr>
      </w:pPr>
    </w:p>
    <w:p w:rsidR="00CA5CE4" w:rsidRPr="00032D45" w:rsidRDefault="00B611BA" w:rsidP="00CC01B7">
      <w:pPr>
        <w:shd w:val="clear" w:color="auto" w:fill="FFFFFF" w:themeFill="background1"/>
        <w:spacing w:after="0"/>
        <w:rPr>
          <w:rFonts w:ascii="Arial" w:hAnsi="Arial" w:cs="Arial"/>
          <w:color w:val="111111"/>
        </w:rPr>
      </w:pPr>
      <w:r w:rsidRPr="00032D45">
        <w:rPr>
          <w:rFonts w:ascii="Arial" w:hAnsi="Arial" w:cs="Arial"/>
          <w:color w:val="111111"/>
        </w:rPr>
        <w:t xml:space="preserve">El presente </w:t>
      </w:r>
      <w:r w:rsidR="004C687C" w:rsidRPr="00032D45">
        <w:rPr>
          <w:rFonts w:ascii="Arial" w:hAnsi="Arial" w:cs="Arial"/>
          <w:color w:val="111111"/>
        </w:rPr>
        <w:t>estudio</w:t>
      </w:r>
      <w:r w:rsidRPr="00032D45">
        <w:rPr>
          <w:rFonts w:ascii="Arial" w:hAnsi="Arial" w:cs="Arial"/>
          <w:color w:val="111111"/>
        </w:rPr>
        <w:t xml:space="preserve"> </w:t>
      </w:r>
      <w:r w:rsidR="002559B7">
        <w:rPr>
          <w:rFonts w:ascii="Arial" w:hAnsi="Arial" w:cs="Arial"/>
          <w:color w:val="111111"/>
        </w:rPr>
        <w:t>enumera</w:t>
      </w:r>
      <w:r w:rsidR="00CA5CE4" w:rsidRPr="00032D45">
        <w:rPr>
          <w:rFonts w:ascii="Arial" w:hAnsi="Arial" w:cs="Arial"/>
          <w:color w:val="111111"/>
        </w:rPr>
        <w:t xml:space="preserve"> </w:t>
      </w:r>
      <w:r w:rsidR="00806A28">
        <w:rPr>
          <w:rFonts w:ascii="Arial" w:hAnsi="Arial" w:cs="Arial"/>
          <w:color w:val="111111"/>
        </w:rPr>
        <w:t xml:space="preserve">los </w:t>
      </w:r>
      <w:r w:rsidRPr="00032D45">
        <w:rPr>
          <w:rFonts w:ascii="Arial" w:hAnsi="Arial" w:cs="Arial"/>
          <w:color w:val="111111"/>
        </w:rPr>
        <w:t xml:space="preserve">diferentes tratados internacionales, </w:t>
      </w:r>
      <w:r w:rsidR="00F600ED" w:rsidRPr="00032D45">
        <w:rPr>
          <w:rFonts w:ascii="Arial" w:hAnsi="Arial" w:cs="Arial"/>
          <w:color w:val="111111"/>
        </w:rPr>
        <w:t xml:space="preserve">de </w:t>
      </w:r>
      <w:r w:rsidRPr="00032D45">
        <w:rPr>
          <w:rFonts w:ascii="Arial" w:hAnsi="Arial" w:cs="Arial"/>
          <w:color w:val="111111"/>
        </w:rPr>
        <w:t xml:space="preserve">ámbito universal </w:t>
      </w:r>
      <w:r w:rsidR="00F600ED" w:rsidRPr="00032D45">
        <w:rPr>
          <w:rFonts w:ascii="Arial" w:hAnsi="Arial" w:cs="Arial"/>
          <w:color w:val="111111"/>
        </w:rPr>
        <w:t>y</w:t>
      </w:r>
      <w:r w:rsidRPr="00032D45">
        <w:rPr>
          <w:rFonts w:ascii="Arial" w:hAnsi="Arial" w:cs="Arial"/>
          <w:color w:val="111111"/>
        </w:rPr>
        <w:t xml:space="preserve"> regional, que </w:t>
      </w:r>
      <w:r w:rsidR="00D60E51" w:rsidRPr="00032D45">
        <w:rPr>
          <w:rFonts w:ascii="Arial" w:hAnsi="Arial" w:cs="Arial"/>
          <w:color w:val="111111"/>
        </w:rPr>
        <w:t>protegen</w:t>
      </w:r>
      <w:r w:rsidRPr="00032D45">
        <w:rPr>
          <w:rFonts w:ascii="Arial" w:hAnsi="Arial" w:cs="Arial"/>
          <w:color w:val="111111"/>
        </w:rPr>
        <w:t xml:space="preserve"> –directa o indirectamente- el derecho de </w:t>
      </w:r>
      <w:r w:rsidR="004C687C" w:rsidRPr="00032D45">
        <w:rPr>
          <w:rFonts w:ascii="Arial" w:hAnsi="Arial" w:cs="Arial"/>
          <w:color w:val="111111"/>
        </w:rPr>
        <w:t xml:space="preserve">participación política </w:t>
      </w:r>
      <w:r w:rsidRPr="00032D45">
        <w:rPr>
          <w:rFonts w:ascii="Arial" w:hAnsi="Arial" w:cs="Arial"/>
          <w:color w:val="111111"/>
        </w:rPr>
        <w:t>de las personas con discapacidad</w:t>
      </w:r>
      <w:r w:rsidR="005824F5" w:rsidRPr="00032D45">
        <w:rPr>
          <w:rFonts w:ascii="Arial" w:hAnsi="Arial" w:cs="Arial"/>
          <w:color w:val="111111"/>
        </w:rPr>
        <w:t>. La Convención de Naciones Unidas sobre los Derechos de las Personas con Discapacidad (2006) supone un cambio de paradigma</w:t>
      </w:r>
      <w:r w:rsidR="00806A28">
        <w:rPr>
          <w:rFonts w:ascii="Arial" w:hAnsi="Arial" w:cs="Arial"/>
          <w:color w:val="111111"/>
        </w:rPr>
        <w:t xml:space="preserve"> en el enfoque sobre la discapacidad</w:t>
      </w:r>
      <w:r w:rsidR="005824F5" w:rsidRPr="00032D45">
        <w:rPr>
          <w:rFonts w:ascii="Arial" w:hAnsi="Arial" w:cs="Arial"/>
          <w:color w:val="111111"/>
        </w:rPr>
        <w:t>, pues además de proclamar el derecho de participación política</w:t>
      </w:r>
      <w:r w:rsidR="00806A28">
        <w:rPr>
          <w:rFonts w:ascii="Arial" w:hAnsi="Arial" w:cs="Arial"/>
          <w:color w:val="111111"/>
        </w:rPr>
        <w:t xml:space="preserve"> de todas las personas con discapacidad, reconoce</w:t>
      </w:r>
      <w:r w:rsidR="005824F5" w:rsidRPr="00032D45">
        <w:rPr>
          <w:rFonts w:ascii="Arial" w:hAnsi="Arial" w:cs="Arial"/>
          <w:color w:val="111111"/>
        </w:rPr>
        <w:t xml:space="preserve"> </w:t>
      </w:r>
      <w:r w:rsidR="00806A28">
        <w:rPr>
          <w:rFonts w:ascii="Arial" w:hAnsi="Arial" w:cs="Arial"/>
          <w:color w:val="111111"/>
        </w:rPr>
        <w:t>su</w:t>
      </w:r>
      <w:r w:rsidR="005824F5" w:rsidRPr="00032D45">
        <w:rPr>
          <w:rFonts w:ascii="Arial" w:hAnsi="Arial" w:cs="Arial"/>
          <w:color w:val="111111"/>
        </w:rPr>
        <w:t xml:space="preserve"> capacidad jurídica en igualdad de condiciones </w:t>
      </w:r>
      <w:r w:rsidR="00806A28">
        <w:rPr>
          <w:rFonts w:ascii="Arial" w:hAnsi="Arial" w:cs="Arial"/>
          <w:color w:val="111111"/>
        </w:rPr>
        <w:t>que</w:t>
      </w:r>
      <w:r w:rsidR="005824F5" w:rsidRPr="00032D45">
        <w:rPr>
          <w:rFonts w:ascii="Arial" w:hAnsi="Arial" w:cs="Arial"/>
          <w:color w:val="111111"/>
        </w:rPr>
        <w:t xml:space="preserve"> </w:t>
      </w:r>
      <w:r w:rsidR="00806A28">
        <w:rPr>
          <w:rFonts w:ascii="Arial" w:hAnsi="Arial" w:cs="Arial"/>
          <w:color w:val="111111"/>
        </w:rPr>
        <w:t>el resto</w:t>
      </w:r>
      <w:r w:rsidRPr="00032D45">
        <w:rPr>
          <w:rFonts w:ascii="Arial" w:hAnsi="Arial" w:cs="Arial"/>
          <w:color w:val="111111"/>
        </w:rPr>
        <w:t xml:space="preserve">. </w:t>
      </w:r>
      <w:r w:rsidR="00806A28">
        <w:rPr>
          <w:rFonts w:ascii="Arial" w:hAnsi="Arial" w:cs="Arial"/>
          <w:color w:val="111111"/>
        </w:rPr>
        <w:t>La consecuencia de este análisis es que España</w:t>
      </w:r>
      <w:r w:rsidR="002559B7">
        <w:rPr>
          <w:rFonts w:ascii="Arial" w:hAnsi="Arial" w:cs="Arial"/>
          <w:color w:val="111111"/>
        </w:rPr>
        <w:t xml:space="preserve"> </w:t>
      </w:r>
      <w:r w:rsidR="00F600ED" w:rsidRPr="00032D45">
        <w:rPr>
          <w:rFonts w:ascii="Arial" w:hAnsi="Arial" w:cs="Arial"/>
          <w:color w:val="111111"/>
        </w:rPr>
        <w:t>de</w:t>
      </w:r>
      <w:r w:rsidR="004F62CB" w:rsidRPr="00032D45">
        <w:rPr>
          <w:rFonts w:ascii="Arial" w:hAnsi="Arial" w:cs="Arial"/>
          <w:color w:val="111111"/>
        </w:rPr>
        <w:t>be</w:t>
      </w:r>
      <w:r w:rsidR="00F600ED" w:rsidRPr="00032D45">
        <w:rPr>
          <w:rFonts w:ascii="Arial" w:hAnsi="Arial" w:cs="Arial"/>
          <w:color w:val="111111"/>
        </w:rPr>
        <w:t xml:space="preserve"> garantizar e</w:t>
      </w:r>
      <w:r w:rsidRPr="00032D45">
        <w:rPr>
          <w:rFonts w:ascii="Arial" w:hAnsi="Arial" w:cs="Arial"/>
          <w:color w:val="111111"/>
        </w:rPr>
        <w:t>l derecho de voto de todas las personas con discapacidad</w:t>
      </w:r>
      <w:r w:rsidR="004F62CB" w:rsidRPr="00032D45">
        <w:rPr>
          <w:rFonts w:ascii="Arial" w:hAnsi="Arial" w:cs="Arial"/>
          <w:color w:val="111111"/>
        </w:rPr>
        <w:t>,</w:t>
      </w:r>
      <w:r w:rsidR="004B0649" w:rsidRPr="00032D45">
        <w:rPr>
          <w:rFonts w:ascii="Arial" w:hAnsi="Arial" w:cs="Arial"/>
          <w:color w:val="111111"/>
        </w:rPr>
        <w:t xml:space="preserve"> con independencia del tipo de discapacidad (física, intelectual, psíquica, sensorial o cognitiva),</w:t>
      </w:r>
      <w:r w:rsidR="004F62CB" w:rsidRPr="00032D45">
        <w:rPr>
          <w:rFonts w:ascii="Arial" w:hAnsi="Arial" w:cs="Arial"/>
          <w:color w:val="111111"/>
        </w:rPr>
        <w:t xml:space="preserve"> </w:t>
      </w:r>
      <w:r w:rsidR="00806A28">
        <w:rPr>
          <w:rFonts w:ascii="Arial" w:hAnsi="Arial" w:cs="Arial"/>
          <w:color w:val="111111"/>
        </w:rPr>
        <w:t>siendo necesario la adecuación de</w:t>
      </w:r>
      <w:r w:rsidR="004F62CB" w:rsidRPr="00032D45">
        <w:rPr>
          <w:rFonts w:ascii="Arial" w:hAnsi="Arial" w:cs="Arial"/>
          <w:color w:val="111111"/>
        </w:rPr>
        <w:t xml:space="preserve"> su legislación interna a las obligaciones internacionales contraíd</w:t>
      </w:r>
      <w:r w:rsidR="00CA5CE4" w:rsidRPr="00032D45">
        <w:rPr>
          <w:rFonts w:ascii="Arial" w:hAnsi="Arial" w:cs="Arial"/>
          <w:color w:val="111111"/>
        </w:rPr>
        <w:t>as</w:t>
      </w:r>
      <w:r w:rsidR="00E0513F" w:rsidRPr="00032D45">
        <w:rPr>
          <w:rFonts w:ascii="Arial" w:hAnsi="Arial" w:cs="Arial"/>
          <w:color w:val="111111"/>
        </w:rPr>
        <w:t>, resultando</w:t>
      </w:r>
      <w:r w:rsidR="004F62CB" w:rsidRPr="00032D45">
        <w:rPr>
          <w:rFonts w:ascii="Arial" w:hAnsi="Arial" w:cs="Arial"/>
          <w:color w:val="111111"/>
        </w:rPr>
        <w:t xml:space="preserve"> </w:t>
      </w:r>
      <w:r w:rsidR="00CA5CE4" w:rsidRPr="00032D45">
        <w:rPr>
          <w:rFonts w:ascii="Arial" w:hAnsi="Arial" w:cs="Arial"/>
          <w:color w:val="111111"/>
        </w:rPr>
        <w:t>por tanto</w:t>
      </w:r>
      <w:r w:rsidR="004F62CB" w:rsidRPr="00032D45">
        <w:rPr>
          <w:rFonts w:ascii="Arial" w:hAnsi="Arial" w:cs="Arial"/>
          <w:color w:val="111111"/>
        </w:rPr>
        <w:t xml:space="preserve"> obligatorio para las autoridades españolas la derogación </w:t>
      </w:r>
      <w:r w:rsidR="002559B7">
        <w:rPr>
          <w:rFonts w:ascii="Arial" w:hAnsi="Arial" w:cs="Arial"/>
          <w:color w:val="111111"/>
        </w:rPr>
        <w:t xml:space="preserve">o reforma </w:t>
      </w:r>
      <w:r w:rsidR="004F62CB" w:rsidRPr="00032D45">
        <w:rPr>
          <w:rFonts w:ascii="Arial" w:hAnsi="Arial" w:cs="Arial"/>
          <w:color w:val="111111"/>
        </w:rPr>
        <w:t>del artículo 3 de la Ley Orgánica de Régimen Electoral General.</w:t>
      </w:r>
    </w:p>
    <w:p w:rsidR="00B611BA" w:rsidRPr="00032D45" w:rsidRDefault="00A76E60" w:rsidP="00CC01B7">
      <w:pPr>
        <w:shd w:val="clear" w:color="auto" w:fill="FFFFFF" w:themeFill="background1"/>
        <w:spacing w:after="0"/>
        <w:rPr>
          <w:rFonts w:ascii="Arial" w:hAnsi="Arial" w:cs="Arial"/>
          <w:color w:val="111111"/>
          <w:highlight w:val="green"/>
        </w:rPr>
      </w:pPr>
      <w:r w:rsidRPr="00032D45">
        <w:rPr>
          <w:rFonts w:ascii="Arial" w:hAnsi="Arial" w:cs="Arial"/>
          <w:color w:val="111111"/>
          <w:highlight w:val="green"/>
        </w:rPr>
        <w:t xml:space="preserve"> </w:t>
      </w:r>
    </w:p>
    <w:p w:rsidR="00FE38C3" w:rsidRPr="00032D45" w:rsidRDefault="00FE38C3" w:rsidP="00CC01B7">
      <w:pPr>
        <w:shd w:val="clear" w:color="auto" w:fill="FFFFFF" w:themeFill="background1"/>
        <w:spacing w:after="0"/>
        <w:rPr>
          <w:rFonts w:ascii="Arial" w:hAnsi="Arial" w:cs="Arial"/>
          <w:color w:val="111111"/>
          <w:lang w:val="en-US"/>
        </w:rPr>
      </w:pPr>
      <w:r w:rsidRPr="00032D45">
        <w:rPr>
          <w:rFonts w:ascii="Arial" w:hAnsi="Arial" w:cs="Arial"/>
          <w:color w:val="111111"/>
          <w:lang w:val="en-US"/>
        </w:rPr>
        <w:t>This study describes the different international treaties, at universal and regional levels, that protect –directly or indirectly- the right to political participation and the right to vote of all person</w:t>
      </w:r>
      <w:r w:rsidR="00806A28">
        <w:rPr>
          <w:rFonts w:ascii="Arial" w:hAnsi="Arial" w:cs="Arial"/>
          <w:color w:val="111111"/>
          <w:lang w:val="en-US"/>
        </w:rPr>
        <w:t>s with all kind of disabilities</w:t>
      </w:r>
      <w:r w:rsidRPr="00032D45">
        <w:rPr>
          <w:rFonts w:ascii="Arial" w:hAnsi="Arial" w:cs="Arial"/>
          <w:color w:val="111111"/>
          <w:lang w:val="en-US"/>
        </w:rPr>
        <w:t xml:space="preserve">. </w:t>
      </w:r>
      <w:r w:rsidR="0036379A" w:rsidRPr="00032D45">
        <w:rPr>
          <w:rFonts w:ascii="Arial" w:hAnsi="Arial" w:cs="Arial"/>
          <w:color w:val="111111"/>
          <w:lang w:val="en-US"/>
        </w:rPr>
        <w:t xml:space="preserve">The United Nations Convention on the Rights of Persons with Disabilities (2006) brings a change in the framework on disability, by proclaiming the right to political participation, </w:t>
      </w:r>
      <w:r w:rsidR="00806A28">
        <w:rPr>
          <w:rFonts w:ascii="Arial" w:hAnsi="Arial" w:cs="Arial"/>
          <w:color w:val="111111"/>
          <w:lang w:val="en-US"/>
        </w:rPr>
        <w:t>and recognizing</w:t>
      </w:r>
      <w:r w:rsidR="0036379A" w:rsidRPr="00032D45">
        <w:rPr>
          <w:rFonts w:ascii="Arial" w:hAnsi="Arial" w:cs="Arial"/>
          <w:color w:val="111111"/>
          <w:lang w:val="en-US"/>
        </w:rPr>
        <w:t xml:space="preserve"> </w:t>
      </w:r>
      <w:r w:rsidR="00806A28">
        <w:rPr>
          <w:rFonts w:ascii="Arial" w:hAnsi="Arial" w:cs="Arial"/>
          <w:color w:val="111111"/>
          <w:lang w:val="en-US"/>
        </w:rPr>
        <w:t xml:space="preserve">their </w:t>
      </w:r>
      <w:r w:rsidR="0036379A" w:rsidRPr="00032D45">
        <w:rPr>
          <w:rFonts w:ascii="Arial" w:hAnsi="Arial" w:cs="Arial"/>
          <w:color w:val="111111"/>
          <w:lang w:val="en-US"/>
        </w:rPr>
        <w:t>legal capacity in equal conditions to the rest of the people</w:t>
      </w:r>
      <w:r w:rsidRPr="00032D45">
        <w:rPr>
          <w:rFonts w:ascii="Arial" w:hAnsi="Arial" w:cs="Arial"/>
          <w:color w:val="111111"/>
          <w:lang w:val="en-US"/>
        </w:rPr>
        <w:t>.</w:t>
      </w:r>
      <w:r w:rsidR="0036379A" w:rsidRPr="00032D45">
        <w:rPr>
          <w:rFonts w:ascii="Arial" w:hAnsi="Arial" w:cs="Arial"/>
          <w:color w:val="111111"/>
          <w:lang w:val="en-US"/>
        </w:rPr>
        <w:t xml:space="preserve"> </w:t>
      </w:r>
      <w:r w:rsidR="00806A28">
        <w:rPr>
          <w:rFonts w:ascii="Arial" w:hAnsi="Arial" w:cs="Arial"/>
          <w:color w:val="111111"/>
          <w:lang w:val="en-US"/>
        </w:rPr>
        <w:t>The consequence of this analysis is that Spain must</w:t>
      </w:r>
      <w:r w:rsidRPr="00032D45">
        <w:rPr>
          <w:rFonts w:ascii="Arial" w:hAnsi="Arial" w:cs="Arial"/>
          <w:color w:val="111111"/>
          <w:lang w:val="en-US"/>
        </w:rPr>
        <w:t xml:space="preserve"> guarantee the right to vote of all persons with disabilities regardless the type of disability (physical, intellectual, mental, sensory or cognitive)</w:t>
      </w:r>
      <w:r w:rsidR="00806A28">
        <w:rPr>
          <w:rFonts w:ascii="Arial" w:hAnsi="Arial" w:cs="Arial"/>
          <w:color w:val="111111"/>
          <w:lang w:val="en-US"/>
        </w:rPr>
        <w:t xml:space="preserve">, being necessary the adaptation of </w:t>
      </w:r>
      <w:r w:rsidRPr="00032D45">
        <w:rPr>
          <w:rFonts w:ascii="Arial" w:hAnsi="Arial" w:cs="Arial"/>
          <w:color w:val="111111"/>
          <w:lang w:val="en-US"/>
        </w:rPr>
        <w:t xml:space="preserve">its </w:t>
      </w:r>
      <w:r w:rsidR="00806A28">
        <w:rPr>
          <w:rFonts w:ascii="Arial" w:hAnsi="Arial" w:cs="Arial"/>
          <w:color w:val="111111"/>
          <w:lang w:val="en-US"/>
        </w:rPr>
        <w:t xml:space="preserve">domestic </w:t>
      </w:r>
      <w:r w:rsidRPr="00032D45">
        <w:rPr>
          <w:rFonts w:ascii="Arial" w:hAnsi="Arial" w:cs="Arial"/>
          <w:color w:val="111111"/>
          <w:lang w:val="en-US"/>
        </w:rPr>
        <w:t xml:space="preserve">laws to international engagements and obligations; therefore, </w:t>
      </w:r>
      <w:r w:rsidR="00806A28">
        <w:rPr>
          <w:rFonts w:ascii="Arial" w:hAnsi="Arial" w:cs="Arial"/>
          <w:color w:val="111111"/>
          <w:lang w:val="en-US"/>
        </w:rPr>
        <w:t xml:space="preserve">it is obligatory for the Spanish authorities the removal or the reform of the </w:t>
      </w:r>
      <w:r w:rsidRPr="00032D45">
        <w:rPr>
          <w:rFonts w:ascii="Arial" w:hAnsi="Arial" w:cs="Arial"/>
          <w:color w:val="111111"/>
          <w:lang w:val="en-US"/>
        </w:rPr>
        <w:t>article 3 of Electoral General Organic Law.</w:t>
      </w:r>
    </w:p>
    <w:p w:rsidR="009A4D20" w:rsidRPr="00032D45" w:rsidRDefault="009A4D20" w:rsidP="00CC01B7">
      <w:pPr>
        <w:shd w:val="clear" w:color="auto" w:fill="FFFFFF" w:themeFill="background1"/>
        <w:spacing w:after="0"/>
        <w:rPr>
          <w:rFonts w:ascii="Arial" w:hAnsi="Arial" w:cs="Arial"/>
          <w:color w:val="111111"/>
          <w:lang w:val="en-US"/>
        </w:rPr>
      </w:pPr>
    </w:p>
    <w:p w:rsidR="001D0CC8" w:rsidRPr="00032D45" w:rsidRDefault="001D0CC8" w:rsidP="00CC01B7">
      <w:pPr>
        <w:shd w:val="clear" w:color="auto" w:fill="FFFFFF" w:themeFill="background1"/>
        <w:spacing w:after="0"/>
        <w:rPr>
          <w:rFonts w:ascii="Arial" w:hAnsi="Arial" w:cs="Arial"/>
          <w:color w:val="111111"/>
        </w:rPr>
      </w:pPr>
      <w:r w:rsidRPr="00032D45">
        <w:rPr>
          <w:rFonts w:ascii="Arial" w:hAnsi="Arial" w:cs="Arial"/>
          <w:b/>
        </w:rPr>
        <w:t>PALABRAS CLAVE</w:t>
      </w:r>
    </w:p>
    <w:p w:rsidR="001D0CC8" w:rsidRPr="00032D45" w:rsidRDefault="001D0CC8" w:rsidP="00CC01B7">
      <w:pPr>
        <w:spacing w:after="0"/>
        <w:ind w:firstLine="708"/>
        <w:rPr>
          <w:rFonts w:ascii="Arial" w:hAnsi="Arial" w:cs="Arial"/>
          <w:b/>
        </w:rPr>
      </w:pPr>
    </w:p>
    <w:p w:rsidR="006153DC" w:rsidRPr="00032D45" w:rsidRDefault="006153DC" w:rsidP="00CC01B7">
      <w:pPr>
        <w:spacing w:after="0"/>
        <w:rPr>
          <w:rFonts w:ascii="Arial" w:hAnsi="Arial" w:cs="Arial"/>
          <w:b/>
        </w:rPr>
      </w:pPr>
      <w:r w:rsidRPr="00032D45">
        <w:rPr>
          <w:rFonts w:ascii="Arial" w:hAnsi="Arial" w:cs="Arial"/>
          <w:b/>
        </w:rPr>
        <w:t>Derecho al voto- participación política- personas discapacidad- recepción- primacía del Derecho Internacional – igualdad y no discriminación</w:t>
      </w:r>
    </w:p>
    <w:p w:rsidR="006153DC" w:rsidRPr="00032D45" w:rsidRDefault="006153DC" w:rsidP="00CC01B7">
      <w:pPr>
        <w:spacing w:after="0"/>
        <w:ind w:firstLine="709"/>
        <w:rPr>
          <w:rFonts w:ascii="Arial" w:hAnsi="Arial" w:cs="Arial"/>
          <w:b/>
        </w:rPr>
      </w:pPr>
    </w:p>
    <w:p w:rsidR="00102595" w:rsidRPr="00032D45" w:rsidRDefault="006153DC" w:rsidP="00CC01B7">
      <w:pPr>
        <w:spacing w:after="0"/>
        <w:rPr>
          <w:rFonts w:ascii="Arial" w:hAnsi="Arial" w:cs="Arial"/>
          <w:b/>
          <w:lang w:val="en-US"/>
        </w:rPr>
      </w:pPr>
      <w:r w:rsidRPr="00032D45">
        <w:rPr>
          <w:rFonts w:ascii="Arial" w:hAnsi="Arial" w:cs="Arial"/>
          <w:b/>
          <w:lang w:val="en-US"/>
        </w:rPr>
        <w:t>Right to vote- political participation- persons with disabilities- reception- primacy of International Law- equality and non discrimination</w:t>
      </w:r>
    </w:p>
    <w:p w:rsidR="00102595" w:rsidRPr="00032D45" w:rsidRDefault="00102595" w:rsidP="00CC01B7">
      <w:pPr>
        <w:spacing w:after="0"/>
        <w:rPr>
          <w:rFonts w:ascii="Arial" w:hAnsi="Arial" w:cs="Arial"/>
          <w:b/>
          <w:lang w:val="en-US"/>
        </w:rPr>
      </w:pPr>
    </w:p>
    <w:p w:rsidR="000C533F" w:rsidRPr="00032D45" w:rsidRDefault="000C533F" w:rsidP="00CC01B7">
      <w:pPr>
        <w:spacing w:after="0"/>
        <w:rPr>
          <w:rFonts w:ascii="Arial" w:hAnsi="Arial" w:cs="Arial"/>
          <w:b/>
        </w:rPr>
      </w:pPr>
      <w:r w:rsidRPr="00032D45">
        <w:rPr>
          <w:rFonts w:ascii="Arial" w:hAnsi="Arial" w:cs="Arial"/>
          <w:b/>
        </w:rPr>
        <w:t>INTRODUCCIÓN</w:t>
      </w:r>
    </w:p>
    <w:p w:rsidR="000C533F" w:rsidRPr="00032D45" w:rsidRDefault="000C533F" w:rsidP="00CC01B7">
      <w:pPr>
        <w:spacing w:after="0"/>
        <w:ind w:firstLine="708"/>
        <w:rPr>
          <w:rFonts w:ascii="Arial" w:hAnsi="Arial" w:cs="Arial"/>
        </w:rPr>
      </w:pPr>
    </w:p>
    <w:p w:rsidR="000C533F" w:rsidRPr="00032D45" w:rsidRDefault="000C533F" w:rsidP="00CC01B7">
      <w:pPr>
        <w:spacing w:after="0"/>
        <w:rPr>
          <w:rFonts w:ascii="Arial" w:hAnsi="Arial" w:cs="Arial"/>
        </w:rPr>
      </w:pPr>
      <w:r w:rsidRPr="00032D45">
        <w:rPr>
          <w:rFonts w:ascii="Arial" w:hAnsi="Arial" w:cs="Arial"/>
        </w:rPr>
        <w:t xml:space="preserve">El ejercicio de un derecho fundamental y tan básico como el derecho de voto sigue </w:t>
      </w:r>
      <w:r w:rsidR="002C28F6" w:rsidRPr="00032D45">
        <w:rPr>
          <w:rFonts w:ascii="Arial" w:hAnsi="Arial" w:cs="Arial"/>
        </w:rPr>
        <w:t>aun</w:t>
      </w:r>
      <w:r w:rsidRPr="00032D45">
        <w:rPr>
          <w:rFonts w:ascii="Arial" w:hAnsi="Arial" w:cs="Arial"/>
        </w:rPr>
        <w:t xml:space="preserve"> encontrando múltiples obstáculos, en muchos casos, insalvables, para las personas con discapacidad. La extensión de este derecho de naturaleza política a colectivos de personas originariamente privados de este derecho ha sido la causa y motor de numerosos movimientos sociales, revueltas, insurrecciones y revoluciones a lo largo de la Historia. En el siglo XXI, parece que esta fase de lucha social para conseguir el reconocimiento del derecho al voto se encuentra superada, por cuanto que el derecho a la participación política se encuentra ya plenamente reconocido prácticamente a todos/as los/as ciudadanos/as en la inmensa mayoría de Estados que conforman la comunidad internacional actual. </w:t>
      </w:r>
    </w:p>
    <w:p w:rsidR="000C533F" w:rsidRPr="00032D45" w:rsidRDefault="000C533F" w:rsidP="00CC01B7">
      <w:pPr>
        <w:spacing w:after="0"/>
        <w:ind w:firstLine="708"/>
        <w:rPr>
          <w:rFonts w:ascii="Arial" w:hAnsi="Arial" w:cs="Arial"/>
        </w:rPr>
      </w:pPr>
    </w:p>
    <w:p w:rsidR="000C533F" w:rsidRPr="00032D45" w:rsidRDefault="000C533F" w:rsidP="00CC01B7">
      <w:pPr>
        <w:spacing w:after="0"/>
        <w:rPr>
          <w:rFonts w:ascii="Arial" w:hAnsi="Arial" w:cs="Arial"/>
        </w:rPr>
      </w:pPr>
      <w:r w:rsidRPr="00032D45">
        <w:rPr>
          <w:rFonts w:ascii="Arial" w:hAnsi="Arial" w:cs="Arial"/>
        </w:rPr>
        <w:t>Sin embargo, encontramos un colectivo, históricamente marginado, vulnerable y relegado de los asuntos públicos, que aún sigue sin ver reconocido en la mayoría de los Estados su derecho a la participación política y, en concreto, su derecho al voto: el colectivo de las personas con discapacidad</w:t>
      </w:r>
      <w:r w:rsidR="00D154A9" w:rsidRPr="00032D45">
        <w:rPr>
          <w:rFonts w:ascii="Arial" w:hAnsi="Arial" w:cs="Arial"/>
        </w:rPr>
        <w:t xml:space="preserve"> y, en especial, el compuesto por aquellas personas con discapacidad intelectual y psíquica</w:t>
      </w:r>
      <w:r w:rsidRPr="00032D45">
        <w:rPr>
          <w:rFonts w:ascii="Arial" w:hAnsi="Arial" w:cs="Arial"/>
        </w:rPr>
        <w:t>.</w:t>
      </w:r>
    </w:p>
    <w:p w:rsidR="000C533F" w:rsidRPr="00032D45" w:rsidRDefault="000C533F" w:rsidP="00CC01B7">
      <w:pPr>
        <w:spacing w:after="0"/>
        <w:ind w:firstLine="708"/>
        <w:rPr>
          <w:rFonts w:ascii="Arial" w:hAnsi="Arial" w:cs="Arial"/>
        </w:rPr>
      </w:pPr>
    </w:p>
    <w:p w:rsidR="000C533F" w:rsidRPr="00032D45" w:rsidRDefault="000C533F" w:rsidP="00CC01B7">
      <w:pPr>
        <w:spacing w:after="0"/>
        <w:rPr>
          <w:rFonts w:ascii="Arial" w:hAnsi="Arial" w:cs="Arial"/>
        </w:rPr>
      </w:pPr>
      <w:r w:rsidRPr="00032D45">
        <w:rPr>
          <w:rFonts w:ascii="Arial" w:hAnsi="Arial" w:cs="Arial"/>
        </w:rPr>
        <w:t xml:space="preserve">El presente trabajo pretende poner de manifiesto que la exclusión del ejercicio del derecho de sufragio a una parte importante de la población de un país por el sólo hecho de ser una persona con discapacidad </w:t>
      </w:r>
      <w:r w:rsidR="00D154A9" w:rsidRPr="00032D45">
        <w:rPr>
          <w:rFonts w:ascii="Arial" w:hAnsi="Arial" w:cs="Arial"/>
        </w:rPr>
        <w:t xml:space="preserve">(ya se trate de una discapacidad física, intelectual, psíquica, cognitiva o sensorial) </w:t>
      </w:r>
      <w:r w:rsidRPr="00032D45">
        <w:rPr>
          <w:rFonts w:ascii="Arial" w:hAnsi="Arial" w:cs="Arial"/>
        </w:rPr>
        <w:t xml:space="preserve">no sólo va a constituir una práctica discriminatoria ilícita para con estas personas, sino que </w:t>
      </w:r>
      <w:r w:rsidR="00AB2D47" w:rsidRPr="00032D45">
        <w:rPr>
          <w:rFonts w:ascii="Arial" w:hAnsi="Arial" w:cs="Arial"/>
        </w:rPr>
        <w:t xml:space="preserve">puede </w:t>
      </w:r>
      <w:r w:rsidRPr="00032D45">
        <w:rPr>
          <w:rFonts w:ascii="Arial" w:hAnsi="Arial" w:cs="Arial"/>
        </w:rPr>
        <w:t xml:space="preserve">suponer una quiebra del </w:t>
      </w:r>
      <w:r w:rsidR="00AB2D47" w:rsidRPr="00032D45">
        <w:rPr>
          <w:rFonts w:ascii="Arial" w:hAnsi="Arial" w:cs="Arial"/>
        </w:rPr>
        <w:t>ordenamiento jurídico internacional,</w:t>
      </w:r>
      <w:r w:rsidRPr="00032D45">
        <w:rPr>
          <w:rFonts w:ascii="Arial" w:hAnsi="Arial" w:cs="Arial"/>
        </w:rPr>
        <w:t xml:space="preserve"> que proclama y promueve los derechos humanos de todas las personas. Con tal fin examinaremos en los siguientes epígrafes las diversas normas y mecanismos legales y jurisdiccionales con los que cuenta el Derecho </w:t>
      </w:r>
      <w:r w:rsidR="00AB2D47" w:rsidRPr="00032D45">
        <w:rPr>
          <w:rFonts w:ascii="Arial" w:hAnsi="Arial" w:cs="Arial"/>
        </w:rPr>
        <w:t>i</w:t>
      </w:r>
      <w:r w:rsidRPr="00032D45">
        <w:rPr>
          <w:rFonts w:ascii="Arial" w:hAnsi="Arial" w:cs="Arial"/>
        </w:rPr>
        <w:t xml:space="preserve">nternacional </w:t>
      </w:r>
      <w:r w:rsidR="00AB2D47" w:rsidRPr="00032D45">
        <w:rPr>
          <w:rFonts w:ascii="Arial" w:hAnsi="Arial" w:cs="Arial"/>
        </w:rPr>
        <w:t>p</w:t>
      </w:r>
      <w:r w:rsidRPr="00032D45">
        <w:rPr>
          <w:rFonts w:ascii="Arial" w:hAnsi="Arial" w:cs="Arial"/>
        </w:rPr>
        <w:t>úblico y que proclaman y protegen el derecho de voto de</w:t>
      </w:r>
      <w:r w:rsidR="001B2BC4">
        <w:rPr>
          <w:rFonts w:ascii="Arial" w:hAnsi="Arial" w:cs="Arial"/>
        </w:rPr>
        <w:t xml:space="preserve"> las personas con discapacidad y, en concreto, de aquellas con discapacidad psíquica o intelectual.</w:t>
      </w:r>
    </w:p>
    <w:p w:rsidR="000C533F" w:rsidRPr="00032D45" w:rsidRDefault="000C533F" w:rsidP="00CC01B7">
      <w:pPr>
        <w:spacing w:after="0"/>
        <w:ind w:firstLine="708"/>
        <w:rPr>
          <w:rFonts w:ascii="Arial" w:hAnsi="Arial" w:cs="Arial"/>
        </w:rPr>
      </w:pPr>
    </w:p>
    <w:p w:rsidR="009F2C69" w:rsidRPr="00032D45" w:rsidRDefault="000C533F" w:rsidP="00CC01B7">
      <w:pPr>
        <w:spacing w:after="0"/>
        <w:rPr>
          <w:rFonts w:ascii="Arial" w:hAnsi="Arial" w:cs="Arial"/>
        </w:rPr>
      </w:pPr>
      <w:r w:rsidRPr="00032D45">
        <w:rPr>
          <w:rFonts w:ascii="Arial" w:hAnsi="Arial" w:cs="Arial"/>
        </w:rPr>
        <w:t>Por último, dedicaremos un apartado específico al caso español para analizar en detalle los obstáculos legales que persisten en nuestro ordenamiento jurídico interno y que mantienen a una parte importante de la población, un alto porcentaje de las personas con discapacidad, sobre todo, aquellas con discapacidad psíquica e intelectual, desprovistas del derecho a votar y elegir a sus representantes políticos en las elecciones.</w:t>
      </w:r>
    </w:p>
    <w:p w:rsidR="009F2C69" w:rsidRPr="00032D45" w:rsidRDefault="009F2C69" w:rsidP="00CC01B7">
      <w:pPr>
        <w:spacing w:after="0"/>
        <w:rPr>
          <w:rFonts w:ascii="Arial" w:hAnsi="Arial" w:cs="Arial"/>
        </w:rPr>
      </w:pPr>
    </w:p>
    <w:p w:rsidR="000C533F" w:rsidRPr="00032D45" w:rsidRDefault="000C533F" w:rsidP="00CC01B7">
      <w:pPr>
        <w:spacing w:after="0"/>
        <w:rPr>
          <w:rFonts w:ascii="Arial" w:hAnsi="Arial" w:cs="Arial"/>
        </w:rPr>
      </w:pPr>
      <w:r w:rsidRPr="00032D45">
        <w:rPr>
          <w:rFonts w:ascii="Arial" w:hAnsi="Arial" w:cs="Arial"/>
          <w:b/>
        </w:rPr>
        <w:lastRenderedPageBreak/>
        <w:t>1. EL DERECHO DE VOTO DE LAS PERSONAS CON DISCAPACIDAD EN LOS TRATADOS INTERNACIONALES.</w:t>
      </w:r>
    </w:p>
    <w:p w:rsidR="000C533F" w:rsidRPr="00032D45" w:rsidRDefault="000C533F" w:rsidP="00CC01B7">
      <w:pPr>
        <w:widowControl w:val="0"/>
        <w:autoSpaceDE w:val="0"/>
        <w:autoSpaceDN w:val="0"/>
        <w:adjustRightInd w:val="0"/>
        <w:spacing w:after="0"/>
        <w:ind w:left="1412"/>
        <w:rPr>
          <w:rFonts w:ascii="Arial" w:hAnsi="Arial" w:cs="Arial"/>
          <w:b/>
        </w:rPr>
      </w:pPr>
    </w:p>
    <w:p w:rsidR="000C533F" w:rsidRPr="00032D45" w:rsidRDefault="000C533F" w:rsidP="00CC01B7">
      <w:pPr>
        <w:widowControl w:val="0"/>
        <w:autoSpaceDE w:val="0"/>
        <w:autoSpaceDN w:val="0"/>
        <w:adjustRightInd w:val="0"/>
        <w:spacing w:after="0"/>
        <w:ind w:left="708" w:firstLine="1"/>
        <w:rPr>
          <w:rFonts w:ascii="Arial" w:hAnsi="Arial" w:cs="Arial"/>
          <w:b/>
        </w:rPr>
      </w:pPr>
      <w:r w:rsidRPr="00032D45">
        <w:rPr>
          <w:rFonts w:ascii="Arial" w:hAnsi="Arial" w:cs="Arial"/>
          <w:b/>
        </w:rPr>
        <w:t>1.1. El artículo 21 de la Declaración Universal de Derechos Humanos</w:t>
      </w:r>
      <w:r w:rsidR="009816DA" w:rsidRPr="00032D45">
        <w:rPr>
          <w:rFonts w:ascii="Arial" w:hAnsi="Arial" w:cs="Arial"/>
          <w:b/>
        </w:rPr>
        <w:t xml:space="preserve"> (1948)</w:t>
      </w:r>
      <w:r w:rsidRPr="00032D45">
        <w:rPr>
          <w:rFonts w:ascii="Arial" w:hAnsi="Arial" w:cs="Arial"/>
          <w:b/>
        </w:rPr>
        <w:t>.</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En el ámbito de los derechos políticos, la aprobación </w:t>
      </w:r>
      <w:r w:rsidR="00CB59ED" w:rsidRPr="00032D45">
        <w:rPr>
          <w:rFonts w:ascii="Arial" w:hAnsi="Arial" w:cs="Arial"/>
        </w:rPr>
        <w:t xml:space="preserve">en 1948 </w:t>
      </w:r>
      <w:r w:rsidRPr="00032D45">
        <w:rPr>
          <w:rFonts w:ascii="Arial" w:hAnsi="Arial" w:cs="Arial"/>
        </w:rPr>
        <w:t>de</w:t>
      </w:r>
      <w:r w:rsidR="00CB59ED" w:rsidRPr="00032D45">
        <w:rPr>
          <w:rFonts w:ascii="Arial" w:hAnsi="Arial" w:cs="Arial"/>
        </w:rPr>
        <w:t xml:space="preserve"> la</w:t>
      </w:r>
      <w:r w:rsidRPr="00032D45">
        <w:rPr>
          <w:rFonts w:ascii="Arial" w:hAnsi="Arial" w:cs="Arial"/>
        </w:rPr>
        <w:t xml:space="preserve"> </w:t>
      </w:r>
      <w:r w:rsidR="00CB59ED" w:rsidRPr="00032D45">
        <w:rPr>
          <w:rFonts w:ascii="Arial" w:hAnsi="Arial" w:cs="Arial"/>
          <w:i/>
        </w:rPr>
        <w:t>Declaración Universal de los Derechos Humanos</w:t>
      </w:r>
      <w:r w:rsidR="00CB59ED" w:rsidRPr="00032D45">
        <w:rPr>
          <w:rStyle w:val="Refdenotaalpie"/>
          <w:rFonts w:ascii="Arial" w:hAnsi="Arial" w:cs="Arial"/>
          <w:i/>
        </w:rPr>
        <w:footnoteReference w:id="1"/>
      </w:r>
      <w:r w:rsidR="00CB59ED" w:rsidRPr="00032D45">
        <w:rPr>
          <w:rFonts w:ascii="Arial" w:hAnsi="Arial" w:cs="Arial"/>
        </w:rPr>
        <w:t xml:space="preserve"> </w:t>
      </w:r>
      <w:r w:rsidR="00CB59ED" w:rsidRPr="00032D45">
        <w:rPr>
          <w:rFonts w:ascii="Arial" w:hAnsi="Arial" w:cs="Arial"/>
          <w:i/>
        </w:rPr>
        <w:t>(DUDH)</w:t>
      </w:r>
      <w:r w:rsidR="00CB59ED" w:rsidRPr="00032D45">
        <w:rPr>
          <w:rFonts w:ascii="Arial" w:hAnsi="Arial" w:cs="Arial"/>
        </w:rPr>
        <w:t xml:space="preserve"> </w:t>
      </w:r>
      <w:r w:rsidRPr="00032D45">
        <w:rPr>
          <w:rFonts w:ascii="Arial" w:hAnsi="Arial" w:cs="Arial"/>
        </w:rPr>
        <w:t xml:space="preserve">significó el inicio del desarrollo de </w:t>
      </w:r>
      <w:r w:rsidRPr="00032D45">
        <w:rPr>
          <w:rFonts w:ascii="Arial" w:hAnsi="Arial" w:cs="Arial"/>
          <w:i/>
        </w:rPr>
        <w:t>la participación de toda persona en el gobierno de su país</w:t>
      </w:r>
      <w:r w:rsidR="00B66658" w:rsidRPr="00032D45">
        <w:rPr>
          <w:rFonts w:ascii="Arial" w:hAnsi="Arial" w:cs="Arial"/>
        </w:rPr>
        <w:t>, aunque ello se hiciera mediante un texto no vinculante “ab initio” jurídicamente</w:t>
      </w:r>
      <w:r w:rsidR="00D154A9" w:rsidRPr="00032D45">
        <w:rPr>
          <w:rFonts w:ascii="Arial" w:hAnsi="Arial" w:cs="Arial"/>
        </w:rPr>
        <w:t xml:space="preserve">, </w:t>
      </w:r>
      <w:r w:rsidR="006C2290" w:rsidRPr="00032D45">
        <w:rPr>
          <w:rFonts w:ascii="Arial" w:hAnsi="Arial" w:cs="Arial"/>
        </w:rPr>
        <w:t xml:space="preserve">la Declaración de 1948, pero </w:t>
      </w:r>
      <w:r w:rsidR="00D154A9" w:rsidRPr="00032D45">
        <w:rPr>
          <w:rFonts w:ascii="Arial" w:hAnsi="Arial" w:cs="Arial"/>
        </w:rPr>
        <w:t xml:space="preserve">con un alto valor político </w:t>
      </w:r>
      <w:r w:rsidR="006C2290" w:rsidRPr="00032D45">
        <w:rPr>
          <w:rFonts w:ascii="Arial" w:hAnsi="Arial" w:cs="Arial"/>
        </w:rPr>
        <w:t>y la fuerza positiva derivada de su obligatoriedad moral</w:t>
      </w:r>
      <w:r w:rsidR="00CC7E94">
        <w:rPr>
          <w:rFonts w:ascii="Arial" w:hAnsi="Arial" w:cs="Arial"/>
        </w:rPr>
        <w:t xml:space="preserve"> (Castro Rial, 1998)</w:t>
      </w:r>
      <w:r w:rsidR="00B66658" w:rsidRPr="00032D45">
        <w:rPr>
          <w:rFonts w:ascii="Arial" w:hAnsi="Arial" w:cs="Arial"/>
        </w:rPr>
        <w:t>.</w:t>
      </w:r>
      <w:r w:rsidRPr="00032D45">
        <w:rPr>
          <w:rFonts w:ascii="Arial" w:hAnsi="Arial" w:cs="Arial"/>
        </w:rPr>
        <w:t xml:space="preserve"> El </w:t>
      </w:r>
      <w:r w:rsidRPr="00032D45">
        <w:rPr>
          <w:rFonts w:ascii="Arial" w:hAnsi="Arial" w:cs="Arial"/>
          <w:i/>
        </w:rPr>
        <w:t>artículo 21 de la Declaración Universal</w:t>
      </w:r>
      <w:r w:rsidR="00641BDD" w:rsidRPr="00032D45">
        <w:rPr>
          <w:rStyle w:val="Refdenotaalpie"/>
          <w:rFonts w:ascii="Arial" w:hAnsi="Arial" w:cs="Arial"/>
          <w:i/>
        </w:rPr>
        <w:footnoteReference w:id="2"/>
      </w:r>
      <w:r w:rsidRPr="00032D45">
        <w:rPr>
          <w:rFonts w:ascii="Arial" w:hAnsi="Arial" w:cs="Arial"/>
        </w:rPr>
        <w:t xml:space="preserve"> proclamó el derecho a la participación política como derecho humano</w:t>
      </w:r>
      <w:r w:rsidR="00CC7E94">
        <w:rPr>
          <w:rFonts w:ascii="Arial" w:hAnsi="Arial" w:cs="Arial"/>
        </w:rPr>
        <w:t xml:space="preserve"> (De La Rasilla, 1998)</w:t>
      </w:r>
      <w:r w:rsidR="00D154A9" w:rsidRPr="00032D45">
        <w:rPr>
          <w:rFonts w:ascii="Arial" w:hAnsi="Arial" w:cs="Arial"/>
        </w:rPr>
        <w:t>;</w:t>
      </w:r>
      <w:r w:rsidRPr="00032D45">
        <w:rPr>
          <w:rFonts w:ascii="Arial" w:hAnsi="Arial" w:cs="Arial"/>
        </w:rPr>
        <w:t xml:space="preserve"> participación –directa o a través de representantes libremente elegidos- que será la norma a la que se conecten y de la que surjan otros derechos humanos sustantivos. </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B66658" w:rsidP="00CC01B7">
      <w:pPr>
        <w:widowControl w:val="0"/>
        <w:autoSpaceDE w:val="0"/>
        <w:autoSpaceDN w:val="0"/>
        <w:adjustRightInd w:val="0"/>
        <w:spacing w:after="0"/>
        <w:rPr>
          <w:rFonts w:ascii="Arial" w:hAnsi="Arial" w:cs="Arial"/>
        </w:rPr>
      </w:pPr>
      <w:r w:rsidRPr="00032D45">
        <w:rPr>
          <w:rFonts w:ascii="Arial" w:hAnsi="Arial" w:cs="Arial"/>
        </w:rPr>
        <w:t>E</w:t>
      </w:r>
      <w:r w:rsidR="000C533F" w:rsidRPr="00032D45">
        <w:rPr>
          <w:rFonts w:ascii="Arial" w:hAnsi="Arial" w:cs="Arial"/>
        </w:rPr>
        <w:t xml:space="preserve">ste artículo 21 recoge un derecho individual de </w:t>
      </w:r>
      <w:r w:rsidR="000C533F" w:rsidRPr="00032D45">
        <w:rPr>
          <w:rFonts w:ascii="Arial" w:hAnsi="Arial" w:cs="Arial"/>
          <w:i/>
        </w:rPr>
        <w:t>“toda persona […] a participar en el gobierno de su país”</w:t>
      </w:r>
      <w:r w:rsidR="000C533F" w:rsidRPr="00032D45">
        <w:rPr>
          <w:rFonts w:ascii="Arial" w:hAnsi="Arial" w:cs="Arial"/>
        </w:rPr>
        <w:t xml:space="preserve">, participación que debe ser directa o a través de representantes libremente elegidos. El primer requisito del artículo 21.3 es que deben realizarse elecciones para que el gobierno de turno fundamente su autoridad en la voluntad del pueblo, pero además se recogen otros elementos esenciales de ese derecho a la participación política, que incluye que se celebren elecciones periódicas, genuinas, mediante </w:t>
      </w:r>
      <w:r w:rsidR="000C533F" w:rsidRPr="00032D45">
        <w:rPr>
          <w:rFonts w:ascii="Arial" w:hAnsi="Arial" w:cs="Arial"/>
          <w:i/>
        </w:rPr>
        <w:t>sufragio universal</w:t>
      </w:r>
      <w:r w:rsidR="000C533F" w:rsidRPr="00032D45">
        <w:rPr>
          <w:rFonts w:ascii="Arial" w:hAnsi="Arial" w:cs="Arial"/>
        </w:rPr>
        <w:t xml:space="preserve">, sufragio igual y secreto de voto. </w:t>
      </w:r>
      <w:r w:rsidR="000C533F" w:rsidRPr="00032D45">
        <w:rPr>
          <w:rFonts w:ascii="Arial" w:hAnsi="Arial" w:cs="Arial"/>
          <w:iCs/>
        </w:rPr>
        <w:t xml:space="preserve">El sufragio universal </w:t>
      </w:r>
      <w:r w:rsidR="000C533F" w:rsidRPr="00032D45">
        <w:rPr>
          <w:rFonts w:ascii="Arial" w:hAnsi="Arial" w:cs="Arial"/>
        </w:rPr>
        <w:t>se refiere a quién tiene derecho a participar en las elecciones, debiendo entenderse de la forma más inclusiva posible</w:t>
      </w:r>
      <w:r w:rsidR="00CC7E94">
        <w:rPr>
          <w:rFonts w:ascii="Arial" w:hAnsi="Arial" w:cs="Arial"/>
        </w:rPr>
        <w:t xml:space="preserve"> (Comisión Europea, 2007a).</w:t>
      </w:r>
    </w:p>
    <w:p w:rsidR="000C533F" w:rsidRPr="00032D45" w:rsidRDefault="000C533F" w:rsidP="00CC01B7">
      <w:pPr>
        <w:widowControl w:val="0"/>
        <w:tabs>
          <w:tab w:val="left" w:pos="851"/>
        </w:tabs>
        <w:autoSpaceDE w:val="0"/>
        <w:autoSpaceDN w:val="0"/>
        <w:adjustRightInd w:val="0"/>
        <w:spacing w:after="0"/>
        <w:ind w:left="851" w:hanging="425"/>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Este </w:t>
      </w:r>
      <w:r w:rsidR="00B66658" w:rsidRPr="00032D45">
        <w:rPr>
          <w:rFonts w:ascii="Arial" w:hAnsi="Arial" w:cs="Arial"/>
        </w:rPr>
        <w:t xml:space="preserve">cardinal (e innovador) </w:t>
      </w:r>
      <w:r w:rsidRPr="00032D45">
        <w:rPr>
          <w:rFonts w:ascii="Arial" w:hAnsi="Arial" w:cs="Arial"/>
        </w:rPr>
        <w:t xml:space="preserve">artículo 21 sería posteriormente desarrollado por el artículo 25 de un tratado internacional vinculante para los Estados, el Pacto Internacional de Derechos Civiles y Políticos, de 1966. </w:t>
      </w:r>
    </w:p>
    <w:p w:rsidR="000C533F" w:rsidRPr="00032D45" w:rsidRDefault="000C533F" w:rsidP="00CC01B7">
      <w:pPr>
        <w:widowControl w:val="0"/>
        <w:autoSpaceDE w:val="0"/>
        <w:autoSpaceDN w:val="0"/>
        <w:adjustRightInd w:val="0"/>
        <w:spacing w:after="0"/>
        <w:rPr>
          <w:rFonts w:ascii="Arial" w:hAnsi="Arial" w:cs="Arial"/>
          <w:b/>
        </w:rPr>
      </w:pPr>
    </w:p>
    <w:p w:rsidR="000C533F" w:rsidRPr="00032D45" w:rsidRDefault="000C533F" w:rsidP="00CC01B7">
      <w:pPr>
        <w:widowControl w:val="0"/>
        <w:autoSpaceDE w:val="0"/>
        <w:autoSpaceDN w:val="0"/>
        <w:adjustRightInd w:val="0"/>
        <w:spacing w:after="0"/>
        <w:ind w:left="720"/>
        <w:rPr>
          <w:rFonts w:ascii="Arial" w:hAnsi="Arial" w:cs="Arial"/>
          <w:b/>
        </w:rPr>
      </w:pPr>
      <w:r w:rsidRPr="00032D45">
        <w:rPr>
          <w:rFonts w:ascii="Arial" w:hAnsi="Arial" w:cs="Arial"/>
          <w:b/>
        </w:rPr>
        <w:t>1.2. El artículo 25 del Pacto Internacional de Derechos Civiles y Políticos</w:t>
      </w:r>
      <w:r w:rsidR="009816DA" w:rsidRPr="00032D45">
        <w:rPr>
          <w:rFonts w:ascii="Arial" w:hAnsi="Arial" w:cs="Arial"/>
          <w:b/>
        </w:rPr>
        <w:t xml:space="preserve"> (1966)</w:t>
      </w:r>
      <w:r w:rsidRPr="00032D45">
        <w:rPr>
          <w:rFonts w:ascii="Arial" w:hAnsi="Arial" w:cs="Arial"/>
          <w:b/>
        </w:rPr>
        <w:t>: Derecho de todos los ciudadanos a la participación política.</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El artículo 25 del PIDCP estableció el </w:t>
      </w:r>
      <w:r w:rsidRPr="00032D45">
        <w:rPr>
          <w:rFonts w:ascii="Arial" w:hAnsi="Arial" w:cs="Arial"/>
          <w:i/>
        </w:rPr>
        <w:t>derecho de participación política de los individuos en las actividades de gobierno de los Estados</w:t>
      </w:r>
      <w:r w:rsidR="00641BDD" w:rsidRPr="00032D45">
        <w:rPr>
          <w:rStyle w:val="Refdenotaalpie"/>
          <w:rFonts w:ascii="Arial" w:hAnsi="Arial" w:cs="Arial"/>
          <w:i/>
        </w:rPr>
        <w:footnoteReference w:id="3"/>
      </w:r>
      <w:r w:rsidRPr="00032D45">
        <w:rPr>
          <w:rFonts w:ascii="Arial" w:hAnsi="Arial" w:cs="Arial"/>
        </w:rPr>
        <w:t xml:space="preserve">. El artículo 25 PIDCP </w:t>
      </w:r>
      <w:r w:rsidRPr="00032D45">
        <w:rPr>
          <w:rFonts w:ascii="Arial" w:hAnsi="Arial" w:cs="Arial"/>
        </w:rPr>
        <w:lastRenderedPageBreak/>
        <w:t xml:space="preserve">comienza con la expresión </w:t>
      </w:r>
      <w:r w:rsidRPr="00032D45">
        <w:rPr>
          <w:rFonts w:ascii="Arial" w:hAnsi="Arial" w:cs="Arial"/>
          <w:i/>
        </w:rPr>
        <w:t>“todos los ciudadanos”</w:t>
      </w:r>
      <w:r w:rsidRPr="00032D45">
        <w:rPr>
          <w:rFonts w:ascii="Arial" w:hAnsi="Arial" w:cs="Arial"/>
        </w:rPr>
        <w:t>, lo que viene a concretar el contenido del artículo 21 de la Declaración Universal</w:t>
      </w:r>
      <w:r w:rsidR="00CC7E94">
        <w:rPr>
          <w:rFonts w:ascii="Arial" w:hAnsi="Arial" w:cs="Arial"/>
        </w:rPr>
        <w:t xml:space="preserve"> (</w:t>
      </w:r>
      <w:proofErr w:type="spellStart"/>
      <w:r w:rsidR="00CC7E94">
        <w:rPr>
          <w:rFonts w:ascii="Arial" w:hAnsi="Arial" w:cs="Arial"/>
        </w:rPr>
        <w:t>Boussuyt</w:t>
      </w:r>
      <w:proofErr w:type="spellEnd"/>
      <w:r w:rsidR="00CC7E94">
        <w:rPr>
          <w:rFonts w:ascii="Arial" w:hAnsi="Arial" w:cs="Arial"/>
        </w:rPr>
        <w:t>, 1953)</w:t>
      </w:r>
      <w:r w:rsidRPr="00032D45">
        <w:rPr>
          <w:rFonts w:ascii="Arial" w:hAnsi="Arial" w:cs="Arial"/>
        </w:rPr>
        <w:t xml:space="preserve">. Ello </w:t>
      </w:r>
      <w:r w:rsidR="009816DA" w:rsidRPr="00032D45">
        <w:rPr>
          <w:rFonts w:ascii="Arial" w:hAnsi="Arial" w:cs="Arial"/>
        </w:rPr>
        <w:t>significa</w:t>
      </w:r>
      <w:r w:rsidRPr="00032D45">
        <w:rPr>
          <w:rFonts w:ascii="Arial" w:hAnsi="Arial" w:cs="Arial"/>
        </w:rPr>
        <w:t xml:space="preserve"> que los Estados pueden limitar este concepto en base a sus criterios para definir quiénes son sus ciudadanos, sin que estos criterios puedan restringir indebidamente estos derechos de participación, es decir </w:t>
      </w:r>
      <w:r w:rsidR="00FD2890" w:rsidRPr="00032D45">
        <w:rPr>
          <w:rFonts w:ascii="Arial" w:hAnsi="Arial" w:cs="Arial"/>
        </w:rPr>
        <w:t xml:space="preserve">-de acuerdo con la literalidad del artículo-, </w:t>
      </w:r>
      <w:r w:rsidRPr="00032D45">
        <w:rPr>
          <w:rFonts w:ascii="Arial" w:hAnsi="Arial" w:cs="Arial"/>
        </w:rPr>
        <w:t xml:space="preserve">sin </w:t>
      </w:r>
      <w:r w:rsidRPr="00032D45">
        <w:rPr>
          <w:rFonts w:ascii="Arial" w:hAnsi="Arial" w:cs="Arial"/>
          <w:i/>
        </w:rPr>
        <w:t>“restricciones indebidas”.</w:t>
      </w:r>
      <w:r w:rsidRPr="00032D45">
        <w:rPr>
          <w:rFonts w:ascii="Arial" w:hAnsi="Arial" w:cs="Arial"/>
        </w:rPr>
        <w:t xml:space="preserve"> </w:t>
      </w:r>
      <w:r w:rsidR="000246AC" w:rsidRPr="00032D45">
        <w:rPr>
          <w:rFonts w:ascii="Arial" w:hAnsi="Arial" w:cs="Arial"/>
        </w:rPr>
        <w:t xml:space="preserve">En consecuencia con ello, </w:t>
      </w:r>
      <w:r w:rsidR="009903BB" w:rsidRPr="00032D45">
        <w:rPr>
          <w:rFonts w:ascii="Arial" w:hAnsi="Arial" w:cs="Arial"/>
        </w:rPr>
        <w:t xml:space="preserve">el derecho de participación política </w:t>
      </w:r>
      <w:r w:rsidR="000246AC" w:rsidRPr="00032D45">
        <w:rPr>
          <w:rFonts w:ascii="Arial" w:hAnsi="Arial" w:cs="Arial"/>
        </w:rPr>
        <w:t>quedará</w:t>
      </w:r>
      <w:r w:rsidR="009903BB" w:rsidRPr="00032D45">
        <w:rPr>
          <w:rFonts w:ascii="Arial" w:hAnsi="Arial" w:cs="Arial"/>
        </w:rPr>
        <w:t xml:space="preserve"> configura</w:t>
      </w:r>
      <w:r w:rsidR="000246AC" w:rsidRPr="00032D45">
        <w:rPr>
          <w:rFonts w:ascii="Arial" w:hAnsi="Arial" w:cs="Arial"/>
        </w:rPr>
        <w:t>do en el ámbito internacional</w:t>
      </w:r>
      <w:r w:rsidR="009903BB" w:rsidRPr="00032D45">
        <w:rPr>
          <w:rFonts w:ascii="Arial" w:hAnsi="Arial" w:cs="Arial"/>
        </w:rPr>
        <w:t xml:space="preserve"> como un derecho</w:t>
      </w:r>
      <w:r w:rsidR="000246AC" w:rsidRPr="00032D45">
        <w:rPr>
          <w:rFonts w:ascii="Arial" w:hAnsi="Arial" w:cs="Arial"/>
        </w:rPr>
        <w:t xml:space="preserve"> </w:t>
      </w:r>
      <w:r w:rsidR="009903BB" w:rsidRPr="00032D45">
        <w:rPr>
          <w:rFonts w:ascii="Arial" w:hAnsi="Arial" w:cs="Arial"/>
        </w:rPr>
        <w:t>“relativo”</w:t>
      </w:r>
      <w:r w:rsidR="000246AC" w:rsidRPr="00032D45">
        <w:rPr>
          <w:rFonts w:ascii="Arial" w:hAnsi="Arial" w:cs="Arial"/>
        </w:rPr>
        <w:t xml:space="preserve"> de aquell</w:t>
      </w:r>
      <w:r w:rsidR="00FD2890" w:rsidRPr="00032D45">
        <w:rPr>
          <w:rFonts w:ascii="Arial" w:hAnsi="Arial" w:cs="Arial"/>
        </w:rPr>
        <w:t>as personas que gozan de la condici</w:t>
      </w:r>
      <w:r w:rsidR="00E52724">
        <w:rPr>
          <w:rFonts w:ascii="Arial" w:hAnsi="Arial" w:cs="Arial"/>
        </w:rPr>
        <w:t>ón</w:t>
      </w:r>
      <w:r w:rsidR="00FD2890" w:rsidRPr="00032D45">
        <w:rPr>
          <w:rFonts w:ascii="Arial" w:hAnsi="Arial" w:cs="Arial"/>
        </w:rPr>
        <w:t xml:space="preserve"> de “ciudadanos”</w:t>
      </w:r>
      <w:r w:rsidR="000246AC" w:rsidRPr="00032D45">
        <w:rPr>
          <w:rFonts w:ascii="Arial" w:hAnsi="Arial" w:cs="Arial"/>
        </w:rPr>
        <w:t xml:space="preserve"> en los ordenamientos nacionales como ciudadanos</w:t>
      </w:r>
      <w:r w:rsidR="009903BB" w:rsidRPr="00032D45">
        <w:rPr>
          <w:rFonts w:ascii="Arial" w:hAnsi="Arial" w:cs="Arial"/>
        </w:rPr>
        <w:t>.</w:t>
      </w:r>
      <w:r w:rsidR="000246AC" w:rsidRPr="00032D45">
        <w:rPr>
          <w:rFonts w:ascii="Arial" w:hAnsi="Arial" w:cs="Arial"/>
        </w:rPr>
        <w:t xml:space="preserve"> El punto esencial será determinar cuándo una restricción a este derecho de participación política habrá de considerarse adecuada o, por el contrario, “indebida”.</w:t>
      </w:r>
      <w:r w:rsidR="006A77A9" w:rsidRPr="00032D45">
        <w:rPr>
          <w:rFonts w:ascii="Arial" w:hAnsi="Arial" w:cs="Arial"/>
        </w:rPr>
        <w:t xml:space="preserve"> Este rol interpretativo será llevado a cabo por el Comité de Derechos Humanos, </w:t>
      </w:r>
      <w:r w:rsidR="00FD2890" w:rsidRPr="00032D45">
        <w:rPr>
          <w:rFonts w:ascii="Arial" w:hAnsi="Arial" w:cs="Arial"/>
        </w:rPr>
        <w:t>tal y como expondremos e</w:t>
      </w:r>
      <w:r w:rsidR="006A77A9" w:rsidRPr="00032D45">
        <w:rPr>
          <w:rFonts w:ascii="Arial" w:hAnsi="Arial" w:cs="Arial"/>
        </w:rPr>
        <w:t>n el siguiente epígrafe.</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246AC" w:rsidP="00CC01B7">
      <w:pPr>
        <w:widowControl w:val="0"/>
        <w:autoSpaceDE w:val="0"/>
        <w:autoSpaceDN w:val="0"/>
        <w:adjustRightInd w:val="0"/>
        <w:spacing w:after="0"/>
        <w:rPr>
          <w:rFonts w:ascii="Arial" w:hAnsi="Arial" w:cs="Arial"/>
        </w:rPr>
      </w:pPr>
      <w:r w:rsidRPr="00032D45">
        <w:rPr>
          <w:rFonts w:ascii="Arial" w:hAnsi="Arial" w:cs="Arial"/>
        </w:rPr>
        <w:t>Por otro lado, l</w:t>
      </w:r>
      <w:r w:rsidR="000C533F" w:rsidRPr="00032D45">
        <w:rPr>
          <w:rFonts w:ascii="Arial" w:hAnsi="Arial" w:cs="Arial"/>
        </w:rPr>
        <w:t xml:space="preserve">a vía por la cual los representantes serán elegidos para asegurar la libre expresión de la voluntad del pueblo se recoge en el apartado b) del artículo 25 del PIDCP. De acuerdo a este artículo, existirá el derecho y la oportunidad de </w:t>
      </w:r>
    </w:p>
    <w:p w:rsidR="000C533F" w:rsidRPr="00032D45" w:rsidRDefault="000C533F" w:rsidP="00CC01B7">
      <w:pPr>
        <w:widowControl w:val="0"/>
        <w:autoSpaceDE w:val="0"/>
        <w:autoSpaceDN w:val="0"/>
        <w:adjustRightInd w:val="0"/>
        <w:spacing w:after="0"/>
        <w:ind w:firstLine="708"/>
        <w:rPr>
          <w:rFonts w:ascii="Arial" w:hAnsi="Arial" w:cs="Arial"/>
        </w:rPr>
      </w:pPr>
    </w:p>
    <w:p w:rsidR="000C533F" w:rsidRPr="00032D45" w:rsidRDefault="000C533F" w:rsidP="00CC01B7">
      <w:pPr>
        <w:widowControl w:val="0"/>
        <w:autoSpaceDE w:val="0"/>
        <w:autoSpaceDN w:val="0"/>
        <w:adjustRightInd w:val="0"/>
        <w:spacing w:after="0"/>
        <w:ind w:left="708"/>
        <w:rPr>
          <w:rFonts w:ascii="Arial" w:hAnsi="Arial" w:cs="Arial"/>
        </w:rPr>
      </w:pPr>
      <w:r w:rsidRPr="00032D45">
        <w:rPr>
          <w:rFonts w:ascii="Arial" w:hAnsi="Arial" w:cs="Arial"/>
          <w:i/>
        </w:rPr>
        <w:t>“votar y ser elegido en elecciones periódicas genuinas desarrolladas en base a sufragio universal e igual y celebradas con voto secreto, garantizando la libre expresión de la voluntad de los electores”</w:t>
      </w:r>
      <w:r w:rsidRPr="00032D45">
        <w:rPr>
          <w:rFonts w:ascii="Arial" w:hAnsi="Arial" w:cs="Arial"/>
        </w:rPr>
        <w:t xml:space="preserve">. </w:t>
      </w:r>
    </w:p>
    <w:p w:rsidR="000C533F" w:rsidRPr="00032D45" w:rsidRDefault="000C533F" w:rsidP="00CC01B7">
      <w:pPr>
        <w:widowControl w:val="0"/>
        <w:autoSpaceDE w:val="0"/>
        <w:autoSpaceDN w:val="0"/>
        <w:adjustRightInd w:val="0"/>
        <w:spacing w:after="0"/>
        <w:ind w:firstLine="708"/>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El artículo proclama el </w:t>
      </w:r>
      <w:r w:rsidRPr="00032D45">
        <w:rPr>
          <w:rFonts w:ascii="Arial" w:hAnsi="Arial" w:cs="Arial"/>
          <w:i/>
        </w:rPr>
        <w:t>sufragio universal de todos los ciudadanos</w:t>
      </w:r>
      <w:r w:rsidRPr="00032D45">
        <w:rPr>
          <w:rFonts w:ascii="Arial" w:hAnsi="Arial" w:cs="Arial"/>
        </w:rPr>
        <w:t xml:space="preserve">, así como el </w:t>
      </w:r>
      <w:r w:rsidRPr="00032D45">
        <w:rPr>
          <w:rFonts w:ascii="Arial" w:hAnsi="Arial" w:cs="Arial"/>
          <w:i/>
        </w:rPr>
        <w:t>derecho de ser elegido</w:t>
      </w:r>
      <w:r w:rsidRPr="00032D45">
        <w:rPr>
          <w:rFonts w:ascii="Arial" w:hAnsi="Arial" w:cs="Arial"/>
          <w:b/>
        </w:rPr>
        <w:t>,</w:t>
      </w:r>
      <w:r w:rsidRPr="00032D45">
        <w:rPr>
          <w:rFonts w:ascii="Arial" w:hAnsi="Arial" w:cs="Arial"/>
        </w:rPr>
        <w:t xml:space="preserve"> que significa que todos los ciudadanos bajo el amparo de la Ley deberían tener no sólo el derecho sino también la opción de presentarse como candidatos, incluido el derecho a presentarse como candidatos independientes</w:t>
      </w:r>
      <w:r w:rsidR="00CC7E94">
        <w:rPr>
          <w:rFonts w:ascii="Arial" w:hAnsi="Arial" w:cs="Arial"/>
        </w:rPr>
        <w:t xml:space="preserve"> (Comisión Europea, 2007b)</w:t>
      </w:r>
      <w:r w:rsidRPr="00032D45">
        <w:rPr>
          <w:rFonts w:ascii="Arial" w:hAnsi="Arial" w:cs="Arial"/>
        </w:rPr>
        <w:t>.</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CB59ED" w:rsidP="00CC01B7">
      <w:pPr>
        <w:spacing w:after="0"/>
        <w:rPr>
          <w:rFonts w:ascii="Arial" w:hAnsi="Arial" w:cs="Arial"/>
        </w:rPr>
      </w:pPr>
      <w:r w:rsidRPr="00032D45">
        <w:rPr>
          <w:rFonts w:ascii="Arial" w:hAnsi="Arial" w:cs="Arial"/>
        </w:rPr>
        <w:t>Este</w:t>
      </w:r>
      <w:r w:rsidR="000C533F" w:rsidRPr="00032D45">
        <w:rPr>
          <w:rFonts w:ascii="Arial" w:hAnsi="Arial" w:cs="Arial"/>
        </w:rPr>
        <w:t xml:space="preserve"> artículo 25 del PIDPC es un precepto básico de alcance universal, que establece la vigencia de una normativa electoral plenamente vinculante para los Estados que han ratificado el Pacto. </w:t>
      </w:r>
      <w:r w:rsidRPr="00032D45">
        <w:rPr>
          <w:rFonts w:ascii="Arial" w:hAnsi="Arial" w:cs="Arial"/>
        </w:rPr>
        <w:t>Los países que han ratificado y, por tanto, se han obligado al cumplimiento del Pacto Internacional de Derechos Civiles y Políticos son, hasta la fecha, 168, una abrumadora mayoría de los Estados que comp</w:t>
      </w:r>
      <w:r w:rsidR="005A30D3">
        <w:rPr>
          <w:rFonts w:ascii="Arial" w:hAnsi="Arial" w:cs="Arial"/>
        </w:rPr>
        <w:t>onen la comunidad internacional</w:t>
      </w:r>
      <w:r w:rsidR="005824F5" w:rsidRPr="00032D45">
        <w:rPr>
          <w:rFonts w:ascii="Arial" w:hAnsi="Arial" w:cs="Arial"/>
        </w:rPr>
        <w:t>.</w:t>
      </w:r>
      <w:r w:rsidRPr="00032D45">
        <w:rPr>
          <w:rFonts w:ascii="Arial" w:hAnsi="Arial" w:cs="Arial"/>
        </w:rPr>
        <w:t xml:space="preserve"> Se trata de</w:t>
      </w:r>
      <w:r w:rsidR="000C533F" w:rsidRPr="00032D45">
        <w:rPr>
          <w:rFonts w:ascii="Arial" w:hAnsi="Arial" w:cs="Arial"/>
        </w:rPr>
        <w:t xml:space="preserve"> una norma obligatoria para los Estados, que nos lleva a confirmar la existencia de un </w:t>
      </w:r>
      <w:r w:rsidR="000C533F" w:rsidRPr="00032D45">
        <w:rPr>
          <w:rFonts w:ascii="Arial" w:hAnsi="Arial" w:cs="Arial"/>
          <w:i/>
        </w:rPr>
        <w:t xml:space="preserve">derecho a la participación política </w:t>
      </w:r>
      <w:r w:rsidR="00E52724">
        <w:rPr>
          <w:rFonts w:ascii="Arial" w:hAnsi="Arial" w:cs="Arial"/>
          <w:i/>
        </w:rPr>
        <w:t xml:space="preserve">para todos los ciudadanos </w:t>
      </w:r>
      <w:r w:rsidR="00CE46CE">
        <w:rPr>
          <w:rFonts w:ascii="Arial" w:hAnsi="Arial" w:cs="Arial"/>
          <w:i/>
        </w:rPr>
        <w:t xml:space="preserve">–sin restricciones indebidas- </w:t>
      </w:r>
      <w:r w:rsidR="000C533F" w:rsidRPr="00032D45">
        <w:rPr>
          <w:rFonts w:ascii="Arial" w:hAnsi="Arial" w:cs="Arial"/>
          <w:i/>
        </w:rPr>
        <w:t>en Derecho Internacional Público</w:t>
      </w:r>
      <w:r w:rsidR="009816DA" w:rsidRPr="00032D45">
        <w:rPr>
          <w:rFonts w:ascii="Arial" w:hAnsi="Arial" w:cs="Arial"/>
          <w:i/>
        </w:rPr>
        <w:t xml:space="preserve"> contemporáneo</w:t>
      </w:r>
      <w:r w:rsidR="005824F5" w:rsidRPr="00032D45">
        <w:rPr>
          <w:rFonts w:ascii="Arial" w:hAnsi="Arial" w:cs="Arial"/>
        </w:rPr>
        <w:t>.</w:t>
      </w:r>
    </w:p>
    <w:p w:rsidR="000C533F" w:rsidRPr="00032D45" w:rsidRDefault="000C533F" w:rsidP="00CC01B7">
      <w:pPr>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ab/>
      </w:r>
      <w:r w:rsidRPr="00032D45">
        <w:rPr>
          <w:rFonts w:ascii="Arial" w:hAnsi="Arial" w:cs="Arial"/>
          <w:b/>
        </w:rPr>
        <w:t xml:space="preserve">1.3. </w:t>
      </w:r>
      <w:r w:rsidR="00B66658" w:rsidRPr="00032D45">
        <w:rPr>
          <w:rFonts w:ascii="Arial" w:hAnsi="Arial" w:cs="Arial"/>
          <w:b/>
        </w:rPr>
        <w:t>E</w:t>
      </w:r>
      <w:r w:rsidRPr="00032D45">
        <w:rPr>
          <w:rFonts w:ascii="Arial" w:hAnsi="Arial" w:cs="Arial"/>
          <w:b/>
        </w:rPr>
        <w:t xml:space="preserve">l Comentario General número 25 </w:t>
      </w:r>
      <w:r w:rsidR="00B66658" w:rsidRPr="00032D45">
        <w:rPr>
          <w:rFonts w:ascii="Arial" w:hAnsi="Arial" w:cs="Arial"/>
          <w:b/>
        </w:rPr>
        <w:t>del Comité de Derechos Humanos de la ONU sobre e</w:t>
      </w:r>
      <w:r w:rsidRPr="00032D45">
        <w:rPr>
          <w:rFonts w:ascii="Arial" w:hAnsi="Arial" w:cs="Arial"/>
          <w:b/>
        </w:rPr>
        <w:t>l artículo 25 del Pacto Internacional de Derechos Civiles y Políticos.</w:t>
      </w:r>
    </w:p>
    <w:p w:rsidR="000C533F" w:rsidRPr="00032D45" w:rsidRDefault="000C533F" w:rsidP="00CC01B7">
      <w:pPr>
        <w:widowControl w:val="0"/>
        <w:autoSpaceDE w:val="0"/>
        <w:autoSpaceDN w:val="0"/>
        <w:adjustRightInd w:val="0"/>
        <w:spacing w:after="0"/>
        <w:ind w:firstLine="708"/>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El Comité de Derechos Humanos desempeña la función vital de vigilar el disfrute de los derechos estipulados en el Pacto Internacional de Derechos Civiles y Políticos, y es el intérprete prominente de su significado y alcance</w:t>
      </w:r>
      <w:r w:rsidR="00CB59ED" w:rsidRPr="00032D45">
        <w:rPr>
          <w:rFonts w:ascii="Arial" w:hAnsi="Arial" w:cs="Arial"/>
        </w:rPr>
        <w:t>.</w:t>
      </w:r>
      <w:r w:rsidR="00686BC1" w:rsidRPr="00032D45">
        <w:rPr>
          <w:rFonts w:ascii="Arial" w:hAnsi="Arial" w:cs="Arial"/>
        </w:rPr>
        <w:t xml:space="preserve"> </w:t>
      </w:r>
      <w:r w:rsidRPr="00032D45">
        <w:rPr>
          <w:rFonts w:ascii="Arial" w:hAnsi="Arial" w:cs="Arial"/>
        </w:rPr>
        <w:t xml:space="preserve">Entre sus numerosas y relevantes resoluciones, el Comité aprobó el </w:t>
      </w:r>
      <w:r w:rsidRPr="00032D45">
        <w:rPr>
          <w:rFonts w:ascii="Arial" w:hAnsi="Arial" w:cs="Arial"/>
          <w:i/>
        </w:rPr>
        <w:t>“Comentario General número 25:</w:t>
      </w:r>
      <w:r w:rsidRPr="00032D45">
        <w:rPr>
          <w:rFonts w:ascii="Arial" w:hAnsi="Arial" w:cs="Arial"/>
          <w:color w:val="000000"/>
        </w:rPr>
        <w:t xml:space="preserve"> </w:t>
      </w:r>
      <w:r w:rsidRPr="00032D45">
        <w:rPr>
          <w:rFonts w:ascii="Arial" w:hAnsi="Arial" w:cs="Arial"/>
          <w:i/>
        </w:rPr>
        <w:t xml:space="preserve">El derecho a participar en los asuntos públicos, el derecho de voto y el derecho de </w:t>
      </w:r>
      <w:r w:rsidRPr="00032D45">
        <w:rPr>
          <w:rFonts w:ascii="Arial" w:hAnsi="Arial" w:cs="Arial"/>
          <w:i/>
        </w:rPr>
        <w:lastRenderedPageBreak/>
        <w:t>acceso igual al servicio público”</w:t>
      </w:r>
      <w:r w:rsidR="00686BC1" w:rsidRPr="00032D45">
        <w:rPr>
          <w:rFonts w:ascii="Arial" w:hAnsi="Arial" w:cs="Arial"/>
        </w:rPr>
        <w:t xml:space="preserve"> </w:t>
      </w:r>
      <w:r w:rsidRPr="00032D45">
        <w:rPr>
          <w:rFonts w:ascii="Arial" w:hAnsi="Arial" w:cs="Arial"/>
        </w:rPr>
        <w:t>(1996), aportando elementos normativos extensos y clarificadores para la implementación del artículo 25 del PIDCP por parte de los Estados.</w:t>
      </w:r>
      <w:r w:rsidR="009667B2" w:rsidRPr="00032D45">
        <w:rPr>
          <w:rFonts w:ascii="Arial" w:hAnsi="Arial" w:cs="Arial"/>
        </w:rPr>
        <w:t xml:space="preserve"> </w:t>
      </w:r>
      <w:r w:rsidRPr="00032D45">
        <w:rPr>
          <w:rFonts w:ascii="Arial" w:hAnsi="Arial" w:cs="Arial"/>
        </w:rPr>
        <w:t xml:space="preserve">En lo que guarda relación con el tema de este trabajo, </w:t>
      </w:r>
      <w:r w:rsidR="0027473B" w:rsidRPr="00032D45">
        <w:rPr>
          <w:rFonts w:ascii="Arial" w:hAnsi="Arial" w:cs="Arial"/>
        </w:rPr>
        <w:t>este Co</w:t>
      </w:r>
      <w:r w:rsidRPr="00032D45">
        <w:rPr>
          <w:rFonts w:ascii="Arial" w:hAnsi="Arial" w:cs="Arial"/>
        </w:rPr>
        <w:t xml:space="preserve">mentario General enfatiza la necesidad de que las elecciones se lleven a cabo mediante </w:t>
      </w:r>
      <w:r w:rsidRPr="00032D45">
        <w:rPr>
          <w:rFonts w:ascii="Arial" w:hAnsi="Arial" w:cs="Arial"/>
          <w:i/>
        </w:rPr>
        <w:t>sufragio universal</w:t>
      </w:r>
      <w:r w:rsidRPr="00032D45">
        <w:rPr>
          <w:rFonts w:ascii="Arial" w:hAnsi="Arial" w:cs="Arial"/>
        </w:rPr>
        <w:t xml:space="preserve"> y que las condiciones para el ejercicio de los derechos de participación política se basen en </w:t>
      </w:r>
      <w:r w:rsidRPr="00032D45">
        <w:rPr>
          <w:rFonts w:ascii="Arial" w:hAnsi="Arial" w:cs="Arial"/>
          <w:i/>
        </w:rPr>
        <w:t>criterios objetivos y razonables</w:t>
      </w:r>
      <w:r w:rsidRPr="00032D45">
        <w:rPr>
          <w:rFonts w:ascii="Arial" w:hAnsi="Arial" w:cs="Arial"/>
        </w:rPr>
        <w:t xml:space="preserve">, es decir, que no caben </w:t>
      </w:r>
      <w:r w:rsidR="006A77A9" w:rsidRPr="00032D45">
        <w:rPr>
          <w:rFonts w:ascii="Arial" w:hAnsi="Arial" w:cs="Arial"/>
        </w:rPr>
        <w:t>“</w:t>
      </w:r>
      <w:r w:rsidRPr="00032D45">
        <w:rPr>
          <w:rFonts w:ascii="Arial" w:hAnsi="Arial" w:cs="Arial"/>
        </w:rPr>
        <w:t>restricciones indebidas</w:t>
      </w:r>
      <w:r w:rsidR="006A77A9" w:rsidRPr="00032D45">
        <w:rPr>
          <w:rFonts w:ascii="Arial" w:hAnsi="Arial" w:cs="Arial"/>
        </w:rPr>
        <w:t>”</w:t>
      </w:r>
      <w:r w:rsidRPr="00032D45">
        <w:rPr>
          <w:rFonts w:ascii="Arial" w:hAnsi="Arial" w:cs="Arial"/>
        </w:rPr>
        <w:t xml:space="preserve"> al derec</w:t>
      </w:r>
      <w:r w:rsidR="00133FF6" w:rsidRPr="00032D45">
        <w:rPr>
          <w:rFonts w:ascii="Arial" w:hAnsi="Arial" w:cs="Arial"/>
        </w:rPr>
        <w:t>ho de participación política.</w:t>
      </w:r>
    </w:p>
    <w:p w:rsidR="006A77A9" w:rsidRPr="00032D45" w:rsidRDefault="006A77A9" w:rsidP="00CC01B7">
      <w:pPr>
        <w:widowControl w:val="0"/>
        <w:autoSpaceDE w:val="0"/>
        <w:autoSpaceDN w:val="0"/>
        <w:adjustRightInd w:val="0"/>
        <w:spacing w:after="0"/>
        <w:rPr>
          <w:rFonts w:ascii="Arial" w:hAnsi="Arial" w:cs="Arial"/>
        </w:rPr>
      </w:pPr>
    </w:p>
    <w:p w:rsidR="006A77A9" w:rsidRPr="00032D45" w:rsidRDefault="006A77A9" w:rsidP="00CC01B7">
      <w:pPr>
        <w:widowControl w:val="0"/>
        <w:autoSpaceDE w:val="0"/>
        <w:autoSpaceDN w:val="0"/>
        <w:adjustRightInd w:val="0"/>
        <w:spacing w:after="0"/>
        <w:rPr>
          <w:rFonts w:ascii="Arial" w:hAnsi="Arial" w:cs="Arial"/>
        </w:rPr>
      </w:pPr>
      <w:r w:rsidRPr="00032D45">
        <w:rPr>
          <w:rFonts w:ascii="Arial" w:hAnsi="Arial" w:cs="Arial"/>
        </w:rPr>
        <w:t xml:space="preserve">En línea con ello, el Comentario General 25 enumera algunas de las restricciones y condiciones que las autoridades nacionales pueden establecer para acceder al derecho de sufragio. Así, </w:t>
      </w:r>
      <w:proofErr w:type="gramStart"/>
      <w:r w:rsidRPr="00032D45">
        <w:rPr>
          <w:rFonts w:ascii="Arial" w:hAnsi="Arial" w:cs="Arial"/>
        </w:rPr>
        <w:t>los párrafos</w:t>
      </w:r>
      <w:proofErr w:type="gramEnd"/>
      <w:r w:rsidRPr="00032D45">
        <w:rPr>
          <w:rFonts w:ascii="Arial" w:hAnsi="Arial" w:cs="Arial"/>
        </w:rPr>
        <w:t xml:space="preserve"> 3º y 4º disponen:</w:t>
      </w:r>
    </w:p>
    <w:p w:rsidR="006A77A9" w:rsidRPr="00032D45" w:rsidRDefault="006A77A9" w:rsidP="00CC01B7">
      <w:pPr>
        <w:widowControl w:val="0"/>
        <w:autoSpaceDE w:val="0"/>
        <w:autoSpaceDN w:val="0"/>
        <w:adjustRightInd w:val="0"/>
        <w:spacing w:after="0"/>
        <w:rPr>
          <w:rFonts w:ascii="Arial" w:hAnsi="Arial" w:cs="Arial"/>
        </w:rPr>
      </w:pPr>
    </w:p>
    <w:p w:rsidR="006A77A9" w:rsidRPr="00032D45" w:rsidRDefault="006A77A9" w:rsidP="00CC01B7">
      <w:pPr>
        <w:widowControl w:val="0"/>
        <w:autoSpaceDE w:val="0"/>
        <w:autoSpaceDN w:val="0"/>
        <w:adjustRightInd w:val="0"/>
        <w:spacing w:after="0"/>
        <w:rPr>
          <w:rFonts w:ascii="Arial" w:hAnsi="Arial" w:cs="Arial"/>
          <w:i/>
        </w:rPr>
      </w:pPr>
      <w:r w:rsidRPr="00032D45">
        <w:rPr>
          <w:rFonts w:ascii="Arial" w:hAnsi="Arial" w:cs="Arial"/>
        </w:rPr>
        <w:tab/>
        <w:t xml:space="preserve">“3. […] </w:t>
      </w:r>
      <w:r w:rsidRPr="00032D45">
        <w:rPr>
          <w:rFonts w:ascii="Arial" w:hAnsi="Arial" w:cs="Arial"/>
          <w:i/>
        </w:rPr>
        <w:t>No se permite hacer distinción alguna entre los ciudadanos en lo concerniente al goce de esos derechos por motivos de raza, color, sexo, idioma, religión, opiniones políticas o de cualquier otra índole, origen nacional o social, posición económica, nacimiento o cualquier otra condición social […].</w:t>
      </w:r>
    </w:p>
    <w:p w:rsidR="006A77A9" w:rsidRPr="00032D45" w:rsidRDefault="006A77A9" w:rsidP="00CC01B7">
      <w:pPr>
        <w:widowControl w:val="0"/>
        <w:autoSpaceDE w:val="0"/>
        <w:autoSpaceDN w:val="0"/>
        <w:adjustRightInd w:val="0"/>
        <w:spacing w:after="0"/>
        <w:rPr>
          <w:rFonts w:ascii="Arial" w:hAnsi="Arial" w:cs="Arial"/>
          <w:i/>
        </w:rPr>
      </w:pPr>
    </w:p>
    <w:p w:rsidR="006A77A9" w:rsidRPr="00032D45" w:rsidRDefault="006A77A9" w:rsidP="00CC01B7">
      <w:pPr>
        <w:widowControl w:val="0"/>
        <w:autoSpaceDE w:val="0"/>
        <w:autoSpaceDN w:val="0"/>
        <w:adjustRightInd w:val="0"/>
        <w:spacing w:after="0"/>
        <w:rPr>
          <w:rFonts w:ascii="Arial" w:hAnsi="Arial" w:cs="Arial"/>
          <w:i/>
        </w:rPr>
      </w:pPr>
      <w:r w:rsidRPr="00032D45">
        <w:rPr>
          <w:rFonts w:ascii="Arial" w:hAnsi="Arial" w:cs="Arial"/>
          <w:i/>
        </w:rPr>
        <w:tab/>
        <w:t>4. Cualesquiera condiciones que se impongan al ejercicio de los derechos amparados por el artículo 25 deberán basarse en criterios objetivos y razonables. Por ejemplo, puede ser razonable exigir que, a fin de ser elegido o nombrado para determinados cargos, se tenga más edad que para ejercer el derecho de voto, que deben poder ejercerlo todos los ciudadanos adultos. El ejercicio de estos derechos por los ciudadanos no puede suspenderse ni negarse, salvo por los motivos previstos en la legislación y que sean razonables y objetivos. Por ejemplo, la incapacidad mental verificada puede ser motivo para negar a una persona el derecho a votar o a ocupar un cargo público.”</w:t>
      </w:r>
    </w:p>
    <w:p w:rsidR="006A77A9" w:rsidRPr="00032D45" w:rsidRDefault="006A77A9" w:rsidP="00CC01B7">
      <w:pPr>
        <w:widowControl w:val="0"/>
        <w:autoSpaceDE w:val="0"/>
        <w:autoSpaceDN w:val="0"/>
        <w:adjustRightInd w:val="0"/>
        <w:spacing w:after="0"/>
        <w:rPr>
          <w:rFonts w:ascii="Arial" w:hAnsi="Arial" w:cs="Arial"/>
          <w:i/>
        </w:rPr>
      </w:pPr>
    </w:p>
    <w:p w:rsidR="006A77A9" w:rsidRPr="00032D45" w:rsidRDefault="006A77A9" w:rsidP="00CC01B7">
      <w:pPr>
        <w:widowControl w:val="0"/>
        <w:autoSpaceDE w:val="0"/>
        <w:autoSpaceDN w:val="0"/>
        <w:adjustRightInd w:val="0"/>
        <w:spacing w:after="0"/>
        <w:rPr>
          <w:rFonts w:ascii="Arial" w:hAnsi="Arial" w:cs="Arial"/>
        </w:rPr>
      </w:pPr>
      <w:r w:rsidRPr="00032D45">
        <w:rPr>
          <w:rFonts w:ascii="Arial" w:hAnsi="Arial" w:cs="Arial"/>
        </w:rPr>
        <w:t xml:space="preserve">Según el tenor literal del Comentario transcrito, se acepta por el Comité como causa para privar del voto a una persona la </w:t>
      </w:r>
      <w:r w:rsidRPr="00032D45">
        <w:rPr>
          <w:rFonts w:ascii="Arial" w:hAnsi="Arial" w:cs="Arial"/>
          <w:i/>
        </w:rPr>
        <w:t>“incapacidad mental verificada”</w:t>
      </w:r>
      <w:r w:rsidRPr="00032D45">
        <w:rPr>
          <w:rFonts w:ascii="Arial" w:hAnsi="Arial" w:cs="Arial"/>
        </w:rPr>
        <w:t>. La consecuencia legal será inmediata: una gran parte, sino la mayoría, de las personas con discapacidad mental se verán impedidas legalmente para ejercer sus derechos de sufragio activo y pasivo por este motivo</w:t>
      </w:r>
      <w:r w:rsidR="00B771CC" w:rsidRPr="00032D45">
        <w:rPr>
          <w:rFonts w:ascii="Arial" w:hAnsi="Arial" w:cs="Arial"/>
        </w:rPr>
        <w:t>. El adjetivo “verificada” –entendemos- que, al menos, requiere de un análisis imparcial, exhaustivo e individualizado, mediante decisión judicial; por lo que el propio Comité</w:t>
      </w:r>
      <w:r w:rsidR="00E52724">
        <w:rPr>
          <w:rFonts w:ascii="Arial" w:hAnsi="Arial" w:cs="Arial"/>
        </w:rPr>
        <w:t xml:space="preserve">, a pesar de fijar esta restricción como debida, </w:t>
      </w:r>
      <w:r w:rsidR="00B771CC" w:rsidRPr="00032D45">
        <w:rPr>
          <w:rFonts w:ascii="Arial" w:hAnsi="Arial" w:cs="Arial"/>
        </w:rPr>
        <w:t>ya parecería fijar ciertas garantías para la limitación de este derecho.</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Asimismo, la labor interpretativa del Comité de Derechos Humanos, como receptor de las comunicaciones individuales y denuncias en base al Protocolo Facultativo del PIDCP, resulta fundamental para precisar las notas configuradoras del derecho a la participación política plasmado en el artículo 25. Algunas importantes resoluciones del Comité que han ido configurando este derecho de participación política son las dictadas en los casos</w:t>
      </w:r>
      <w:r w:rsidRPr="00032D45">
        <w:rPr>
          <w:rFonts w:ascii="Arial" w:hAnsi="Arial" w:cs="Arial"/>
          <w:i/>
        </w:rPr>
        <w:t xml:space="preserve"> </w:t>
      </w:r>
      <w:proofErr w:type="spellStart"/>
      <w:r w:rsidRPr="00032D45">
        <w:rPr>
          <w:rFonts w:ascii="Arial" w:hAnsi="Arial" w:cs="Arial"/>
          <w:i/>
        </w:rPr>
        <w:t>Yong</w:t>
      </w:r>
      <w:proofErr w:type="spellEnd"/>
      <w:r w:rsidRPr="00032D45">
        <w:rPr>
          <w:rFonts w:ascii="Arial" w:hAnsi="Arial" w:cs="Arial"/>
          <w:i/>
        </w:rPr>
        <w:t xml:space="preserve"> </w:t>
      </w:r>
      <w:proofErr w:type="spellStart"/>
      <w:r w:rsidRPr="00032D45">
        <w:rPr>
          <w:rFonts w:ascii="Arial" w:hAnsi="Arial" w:cs="Arial"/>
          <w:i/>
        </w:rPr>
        <w:t>Joo</w:t>
      </w:r>
      <w:proofErr w:type="spellEnd"/>
      <w:r w:rsidRPr="00032D45">
        <w:rPr>
          <w:rFonts w:ascii="Arial" w:hAnsi="Arial" w:cs="Arial"/>
          <w:i/>
        </w:rPr>
        <w:t xml:space="preserve"> </w:t>
      </w:r>
      <w:proofErr w:type="spellStart"/>
      <w:r w:rsidRPr="00032D45">
        <w:rPr>
          <w:rFonts w:ascii="Arial" w:hAnsi="Arial" w:cs="Arial"/>
          <w:i/>
        </w:rPr>
        <w:t>Kang</w:t>
      </w:r>
      <w:proofErr w:type="spellEnd"/>
      <w:r w:rsidRPr="00032D45">
        <w:rPr>
          <w:rFonts w:ascii="Arial" w:hAnsi="Arial" w:cs="Arial"/>
          <w:i/>
        </w:rPr>
        <w:t xml:space="preserve"> contra República de Corea, caso</w:t>
      </w:r>
      <w:r w:rsidRPr="00032D45">
        <w:rPr>
          <w:rFonts w:ascii="Arial" w:hAnsi="Arial" w:cs="Arial"/>
        </w:rPr>
        <w:t xml:space="preserve"> </w:t>
      </w:r>
      <w:proofErr w:type="spellStart"/>
      <w:r w:rsidRPr="00032D45">
        <w:rPr>
          <w:rFonts w:ascii="Arial" w:hAnsi="Arial" w:cs="Arial"/>
          <w:i/>
        </w:rPr>
        <w:t>Gillot</w:t>
      </w:r>
      <w:proofErr w:type="spellEnd"/>
      <w:r w:rsidRPr="00032D45">
        <w:rPr>
          <w:rFonts w:ascii="Arial" w:hAnsi="Arial" w:cs="Arial"/>
          <w:i/>
        </w:rPr>
        <w:t xml:space="preserve"> y otros contra Francia</w:t>
      </w:r>
      <w:r w:rsidRPr="00032D45">
        <w:rPr>
          <w:rStyle w:val="Refdenotaalpie"/>
          <w:rFonts w:ascii="Arial" w:hAnsi="Arial" w:cs="Arial"/>
        </w:rPr>
        <w:footnoteReference w:id="4"/>
      </w:r>
      <w:r w:rsidRPr="00032D45">
        <w:rPr>
          <w:rFonts w:ascii="Arial" w:hAnsi="Arial" w:cs="Arial"/>
          <w:i/>
        </w:rPr>
        <w:t xml:space="preserve"> </w:t>
      </w:r>
      <w:r w:rsidRPr="00032D45">
        <w:rPr>
          <w:rFonts w:ascii="Arial" w:hAnsi="Arial" w:cs="Arial"/>
        </w:rPr>
        <w:t xml:space="preserve">o en el </w:t>
      </w:r>
      <w:r w:rsidRPr="00032D45">
        <w:rPr>
          <w:rFonts w:ascii="Arial" w:hAnsi="Arial" w:cs="Arial"/>
          <w:i/>
        </w:rPr>
        <w:t xml:space="preserve">caso </w:t>
      </w:r>
      <w:proofErr w:type="spellStart"/>
      <w:r w:rsidRPr="00032D45">
        <w:rPr>
          <w:rFonts w:ascii="Arial" w:hAnsi="Arial" w:cs="Arial"/>
          <w:i/>
        </w:rPr>
        <w:t>Svetik</w:t>
      </w:r>
      <w:proofErr w:type="spellEnd"/>
      <w:r w:rsidRPr="00032D45">
        <w:rPr>
          <w:rFonts w:ascii="Arial" w:hAnsi="Arial" w:cs="Arial"/>
          <w:i/>
        </w:rPr>
        <w:t xml:space="preserve"> contra Bielorrusia</w:t>
      </w:r>
      <w:r w:rsidRPr="00032D45">
        <w:rPr>
          <w:rFonts w:ascii="Arial" w:hAnsi="Arial" w:cs="Arial"/>
        </w:rPr>
        <w:t>.</w:t>
      </w:r>
      <w:r w:rsidRPr="00032D45">
        <w:rPr>
          <w:rFonts w:ascii="Arial" w:hAnsi="Arial" w:cs="Arial"/>
          <w:vertAlign w:val="superscript"/>
        </w:rPr>
        <w:footnoteReference w:id="5"/>
      </w:r>
      <w:r w:rsidRPr="00032D45">
        <w:rPr>
          <w:rFonts w:ascii="Arial" w:hAnsi="Arial" w:cs="Arial"/>
        </w:rPr>
        <w:t xml:space="preserve">En </w:t>
      </w:r>
      <w:r w:rsidR="00E52724">
        <w:rPr>
          <w:rFonts w:ascii="Arial" w:hAnsi="Arial" w:cs="Arial"/>
        </w:rPr>
        <w:t>el marco de esta función</w:t>
      </w:r>
      <w:r w:rsidRPr="00032D45">
        <w:rPr>
          <w:rFonts w:ascii="Arial" w:hAnsi="Arial" w:cs="Arial"/>
        </w:rPr>
        <w:t xml:space="preserve">, el Comité también ha interpretado </w:t>
      </w:r>
      <w:r w:rsidR="002C2088" w:rsidRPr="00032D45">
        <w:rPr>
          <w:rFonts w:ascii="Arial" w:hAnsi="Arial" w:cs="Arial"/>
        </w:rPr>
        <w:t xml:space="preserve">en sus decisiones sobre comunicaciones individuales </w:t>
      </w:r>
      <w:r w:rsidRPr="00032D45">
        <w:rPr>
          <w:rFonts w:ascii="Arial" w:hAnsi="Arial" w:cs="Arial"/>
        </w:rPr>
        <w:lastRenderedPageBreak/>
        <w:t xml:space="preserve">lo que debe entenderse por </w:t>
      </w:r>
      <w:r w:rsidRPr="00032D45">
        <w:rPr>
          <w:rFonts w:ascii="Arial" w:hAnsi="Arial" w:cs="Arial"/>
          <w:i/>
        </w:rPr>
        <w:t>“restricciones indebidas”</w:t>
      </w:r>
      <w:r w:rsidRPr="00032D45">
        <w:rPr>
          <w:rFonts w:ascii="Arial" w:hAnsi="Arial" w:cs="Arial"/>
        </w:rPr>
        <w:t xml:space="preserve"> al derecho de participación. </w:t>
      </w:r>
      <w:r w:rsidR="00850D3F">
        <w:rPr>
          <w:rFonts w:ascii="Arial" w:hAnsi="Arial" w:cs="Arial"/>
        </w:rPr>
        <w:t>Ninguna de las</w:t>
      </w:r>
      <w:r w:rsidRPr="00032D45">
        <w:rPr>
          <w:rFonts w:ascii="Arial" w:hAnsi="Arial" w:cs="Arial"/>
        </w:rPr>
        <w:t xml:space="preserve"> resoluciones que analizan de forma pormenorizada este concepto</w:t>
      </w:r>
      <w:r w:rsidR="00850D3F">
        <w:rPr>
          <w:rFonts w:ascii="Arial" w:hAnsi="Arial" w:cs="Arial"/>
        </w:rPr>
        <w:t xml:space="preserve"> </w:t>
      </w:r>
      <w:r w:rsidRPr="00032D45">
        <w:rPr>
          <w:rFonts w:ascii="Arial" w:hAnsi="Arial" w:cs="Arial"/>
          <w:iCs/>
        </w:rPr>
        <w:t>aborda de forma exhaustiva los derechos de participación política de las personas con discapacidad, pero sin embargo sí aportan elementos interpretativos de interés y limitan la posibilidad de que los Estados restrinjan el derecho de voto de determinadas personas de manera indebida o injustificada.</w:t>
      </w:r>
      <w:r w:rsidRPr="00032D45">
        <w:rPr>
          <w:rFonts w:ascii="Arial" w:hAnsi="Arial" w:cs="Arial"/>
          <w:b/>
          <w:iCs/>
        </w:rPr>
        <w:t xml:space="preserve"> </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ind w:firstLine="709"/>
        <w:rPr>
          <w:rFonts w:ascii="Arial" w:hAnsi="Arial" w:cs="Arial"/>
          <w:b/>
        </w:rPr>
      </w:pPr>
      <w:r w:rsidRPr="00032D45">
        <w:rPr>
          <w:rFonts w:ascii="Arial" w:hAnsi="Arial" w:cs="Arial"/>
          <w:b/>
        </w:rPr>
        <w:t xml:space="preserve">1.4. </w:t>
      </w:r>
      <w:r w:rsidR="00574142" w:rsidRPr="00032D45">
        <w:rPr>
          <w:rFonts w:ascii="Arial" w:hAnsi="Arial" w:cs="Arial"/>
          <w:b/>
        </w:rPr>
        <w:t>La Convención sobre los derechos de las personas con discapacidad (2006): el derecho a la participación política de las personas con discapacidad (artículo 29) y su relación con la capacidad jurídica (artículo 12).</w:t>
      </w:r>
    </w:p>
    <w:p w:rsidR="000C533F" w:rsidRPr="00032D45" w:rsidRDefault="000C533F" w:rsidP="00CC01B7">
      <w:pPr>
        <w:widowControl w:val="0"/>
        <w:autoSpaceDE w:val="0"/>
        <w:autoSpaceDN w:val="0"/>
        <w:adjustRightInd w:val="0"/>
        <w:spacing w:after="0"/>
        <w:ind w:firstLine="708"/>
        <w:rPr>
          <w:rFonts w:ascii="Arial" w:hAnsi="Arial" w:cs="Arial"/>
          <w:b/>
        </w:rPr>
      </w:pPr>
    </w:p>
    <w:p w:rsidR="006A19DB"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L</w:t>
      </w:r>
      <w:r w:rsidR="00284B00" w:rsidRPr="00032D45">
        <w:rPr>
          <w:rFonts w:ascii="Arial" w:hAnsi="Arial" w:cs="Arial"/>
        </w:rPr>
        <w:t xml:space="preserve">a interpretación restrictiva del artículo 25 del PIDCP efectuada por el Comité de Derechos Humanos, en lo que concierne a las personas con discapacidad, se vería superada por </w:t>
      </w:r>
      <w:r w:rsidRPr="00032D45">
        <w:rPr>
          <w:rFonts w:ascii="Arial" w:hAnsi="Arial" w:cs="Arial"/>
        </w:rPr>
        <w:t xml:space="preserve">la aprobación </w:t>
      </w:r>
      <w:r w:rsidR="008735F8" w:rsidRPr="00032D45">
        <w:rPr>
          <w:rFonts w:ascii="Arial" w:hAnsi="Arial" w:cs="Arial"/>
        </w:rPr>
        <w:t xml:space="preserve">en Nueva York </w:t>
      </w:r>
      <w:r w:rsidRPr="00032D45">
        <w:rPr>
          <w:rFonts w:ascii="Arial" w:hAnsi="Arial" w:cs="Arial"/>
        </w:rPr>
        <w:t>en 2006 de la</w:t>
      </w:r>
      <w:r w:rsidRPr="00032D45">
        <w:rPr>
          <w:rFonts w:ascii="Arial" w:hAnsi="Arial" w:cs="Arial"/>
          <w:b/>
        </w:rPr>
        <w:t xml:space="preserve"> </w:t>
      </w:r>
      <w:r w:rsidRPr="00032D45">
        <w:rPr>
          <w:rFonts w:ascii="Arial" w:hAnsi="Arial" w:cs="Arial"/>
          <w:i/>
        </w:rPr>
        <w:t>Convención sobre los derechos de las personas con discapacidad (CDPD)</w:t>
      </w:r>
      <w:r w:rsidRPr="00032D45">
        <w:rPr>
          <w:rFonts w:ascii="Arial" w:hAnsi="Arial" w:cs="Arial"/>
        </w:rPr>
        <w:t xml:space="preserve">. </w:t>
      </w:r>
      <w:r w:rsidR="001140E5" w:rsidRPr="00032D45">
        <w:rPr>
          <w:rFonts w:ascii="Arial" w:hAnsi="Arial" w:cs="Arial"/>
        </w:rPr>
        <w:t>Esta Convención</w:t>
      </w:r>
      <w:r w:rsidR="006A19DB" w:rsidRPr="00032D45">
        <w:rPr>
          <w:rFonts w:ascii="Arial" w:hAnsi="Arial" w:cs="Arial"/>
        </w:rPr>
        <w:t xml:space="preserve"> internacional</w:t>
      </w:r>
      <w:r w:rsidR="001140E5" w:rsidRPr="00032D45">
        <w:rPr>
          <w:rFonts w:ascii="Arial" w:hAnsi="Arial" w:cs="Arial"/>
        </w:rPr>
        <w:t xml:space="preserve"> </w:t>
      </w:r>
      <w:r w:rsidR="006A19DB" w:rsidRPr="00032D45">
        <w:rPr>
          <w:rFonts w:ascii="Arial" w:hAnsi="Arial" w:cs="Arial"/>
        </w:rPr>
        <w:t>ha supuesto</w:t>
      </w:r>
      <w:r w:rsidR="001140E5" w:rsidRPr="00032D45">
        <w:rPr>
          <w:rFonts w:ascii="Arial" w:hAnsi="Arial" w:cs="Arial"/>
        </w:rPr>
        <w:t xml:space="preserve"> un “cambio de paradigma” en la concepción de los derechos humanos de las personas con discapacidad: a partir de </w:t>
      </w:r>
      <w:r w:rsidR="006A19DB" w:rsidRPr="00032D45">
        <w:rPr>
          <w:rFonts w:ascii="Arial" w:hAnsi="Arial" w:cs="Arial"/>
        </w:rPr>
        <w:t>su entrada en vigor</w:t>
      </w:r>
      <w:r w:rsidR="001140E5" w:rsidRPr="00032D45">
        <w:rPr>
          <w:rFonts w:ascii="Arial" w:hAnsi="Arial" w:cs="Arial"/>
        </w:rPr>
        <w:t>, las personas con discapacidad pasan a ser consideradas sujetos de derechos, con plena participación en la formulación y ejecución de los planes y políticas que les afectan</w:t>
      </w:r>
      <w:r w:rsidR="00246623">
        <w:rPr>
          <w:rFonts w:ascii="Arial" w:hAnsi="Arial" w:cs="Arial"/>
        </w:rPr>
        <w:t xml:space="preserve"> (</w:t>
      </w:r>
      <w:proofErr w:type="spellStart"/>
      <w:r w:rsidR="00246623">
        <w:rPr>
          <w:rFonts w:ascii="Arial" w:hAnsi="Arial" w:cs="Arial"/>
        </w:rPr>
        <w:t>Sanj</w:t>
      </w:r>
      <w:r w:rsidR="00686BC1">
        <w:rPr>
          <w:rFonts w:ascii="Arial" w:hAnsi="Arial" w:cs="Arial"/>
        </w:rPr>
        <w:t>osé</w:t>
      </w:r>
      <w:proofErr w:type="spellEnd"/>
      <w:r w:rsidR="00686BC1">
        <w:rPr>
          <w:rFonts w:ascii="Arial" w:hAnsi="Arial" w:cs="Arial"/>
        </w:rPr>
        <w:t xml:space="preserve"> Gil, 2007</w:t>
      </w:r>
      <w:r w:rsidR="00656981">
        <w:rPr>
          <w:rFonts w:ascii="Arial" w:hAnsi="Arial" w:cs="Arial"/>
        </w:rPr>
        <w:t>a</w:t>
      </w:r>
      <w:r w:rsidR="00686BC1">
        <w:rPr>
          <w:rFonts w:ascii="Arial" w:hAnsi="Arial" w:cs="Arial"/>
        </w:rPr>
        <w:t>)</w:t>
      </w:r>
      <w:r w:rsidR="001140E5" w:rsidRPr="00032D45">
        <w:rPr>
          <w:rFonts w:ascii="Arial" w:hAnsi="Arial" w:cs="Arial"/>
        </w:rPr>
        <w:t>.</w:t>
      </w:r>
    </w:p>
    <w:p w:rsidR="006A19DB" w:rsidRPr="00032D45" w:rsidRDefault="006A19DB" w:rsidP="00CC01B7">
      <w:pPr>
        <w:widowControl w:val="0"/>
        <w:autoSpaceDE w:val="0"/>
        <w:autoSpaceDN w:val="0"/>
        <w:adjustRightInd w:val="0"/>
        <w:spacing w:after="0"/>
        <w:rPr>
          <w:rFonts w:ascii="Arial" w:hAnsi="Arial" w:cs="Arial"/>
        </w:rPr>
      </w:pPr>
    </w:p>
    <w:p w:rsidR="001140E5" w:rsidRPr="00032D45" w:rsidRDefault="006A19DB" w:rsidP="00CC01B7">
      <w:pPr>
        <w:widowControl w:val="0"/>
        <w:autoSpaceDE w:val="0"/>
        <w:autoSpaceDN w:val="0"/>
        <w:adjustRightInd w:val="0"/>
        <w:spacing w:after="0"/>
        <w:rPr>
          <w:rFonts w:ascii="Arial" w:hAnsi="Arial" w:cs="Arial"/>
        </w:rPr>
      </w:pPr>
      <w:r w:rsidRPr="00032D45">
        <w:rPr>
          <w:rFonts w:ascii="Arial" w:hAnsi="Arial" w:cs="Arial"/>
        </w:rPr>
        <w:t>El alcance universal y el carácter tuitivo de esta Convención fueron destacados desde el inicio de las negociaciones y trabajos preparatorios del texto, habida cuenta que existía un elevado consenso en que la Convención “debería proteger los derechos de todas las personas con discapacidad, independientemente de cuál fuera el tipo de discapacidad”</w:t>
      </w:r>
      <w:r w:rsidR="00686BC1">
        <w:rPr>
          <w:rFonts w:ascii="Arial" w:hAnsi="Arial" w:cs="Arial"/>
        </w:rPr>
        <w:t xml:space="preserve"> (</w:t>
      </w:r>
      <w:proofErr w:type="spellStart"/>
      <w:r w:rsidR="00686BC1">
        <w:rPr>
          <w:rFonts w:ascii="Arial" w:hAnsi="Arial" w:cs="Arial"/>
        </w:rPr>
        <w:t>San</w:t>
      </w:r>
      <w:r w:rsidR="00246623">
        <w:rPr>
          <w:rFonts w:ascii="Arial" w:hAnsi="Arial" w:cs="Arial"/>
        </w:rPr>
        <w:t>j</w:t>
      </w:r>
      <w:r w:rsidR="00686BC1">
        <w:rPr>
          <w:rFonts w:ascii="Arial" w:hAnsi="Arial" w:cs="Arial"/>
        </w:rPr>
        <w:t>os</w:t>
      </w:r>
      <w:r w:rsidR="00CC5E6E">
        <w:rPr>
          <w:rFonts w:ascii="Arial" w:hAnsi="Arial" w:cs="Arial"/>
        </w:rPr>
        <w:t>é</w:t>
      </w:r>
      <w:proofErr w:type="spellEnd"/>
      <w:r w:rsidR="00CC5E6E">
        <w:rPr>
          <w:rFonts w:ascii="Arial" w:hAnsi="Arial" w:cs="Arial"/>
        </w:rPr>
        <w:t xml:space="preserve"> Gil, 200</w:t>
      </w:r>
      <w:r w:rsidR="00246623">
        <w:rPr>
          <w:rFonts w:ascii="Arial" w:hAnsi="Arial" w:cs="Arial"/>
        </w:rPr>
        <w:t>7</w:t>
      </w:r>
      <w:r w:rsidR="00CC5E6E">
        <w:rPr>
          <w:rFonts w:ascii="Arial" w:hAnsi="Arial" w:cs="Arial"/>
        </w:rPr>
        <w:t>: 115</w:t>
      </w:r>
      <w:r w:rsidR="00656981">
        <w:rPr>
          <w:rFonts w:ascii="Arial" w:hAnsi="Arial" w:cs="Arial"/>
        </w:rPr>
        <w:t>b</w:t>
      </w:r>
      <w:r w:rsidR="00686BC1">
        <w:rPr>
          <w:rFonts w:ascii="Arial" w:hAnsi="Arial" w:cs="Arial"/>
        </w:rPr>
        <w:t>)</w:t>
      </w:r>
      <w:r w:rsidR="00C645C7" w:rsidRPr="00032D45">
        <w:rPr>
          <w:rFonts w:ascii="Arial" w:hAnsi="Arial" w:cs="Arial"/>
        </w:rPr>
        <w:t xml:space="preserve">, es decir, que la Convención no sólo proclama y protege los derechos de las personas con discapacidad física, motora o sensorial, sino que también incluye en su ámbito personal a las personas con discapacidad psíquica </w:t>
      </w:r>
      <w:r w:rsidR="00E30E1D" w:rsidRPr="00032D45">
        <w:rPr>
          <w:rFonts w:ascii="Arial" w:hAnsi="Arial" w:cs="Arial"/>
        </w:rPr>
        <w:t>e</w:t>
      </w:r>
      <w:r w:rsidR="00C645C7" w:rsidRPr="00032D45">
        <w:rPr>
          <w:rFonts w:ascii="Arial" w:hAnsi="Arial" w:cs="Arial"/>
        </w:rPr>
        <w:t xml:space="preserve"> </w:t>
      </w:r>
      <w:r w:rsidR="00983E6C" w:rsidRPr="00032D45">
        <w:rPr>
          <w:rFonts w:ascii="Arial" w:hAnsi="Arial" w:cs="Arial"/>
        </w:rPr>
        <w:t>intelectual</w:t>
      </w:r>
      <w:r w:rsidR="00506B96" w:rsidRPr="00032D45">
        <w:rPr>
          <w:rFonts w:ascii="Arial" w:hAnsi="Arial" w:cs="Arial"/>
        </w:rPr>
        <w:t>, u</w:t>
      </w:r>
      <w:r w:rsidR="00C645C7" w:rsidRPr="00032D45">
        <w:rPr>
          <w:rFonts w:ascii="Arial" w:hAnsi="Arial" w:cs="Arial"/>
        </w:rPr>
        <w:t xml:space="preserve">n amplio espectro de personas </w:t>
      </w:r>
      <w:r w:rsidR="00A10E57" w:rsidRPr="00032D45">
        <w:rPr>
          <w:rFonts w:ascii="Arial" w:hAnsi="Arial" w:cs="Arial"/>
        </w:rPr>
        <w:t>que aglutina muy variados tipos y modalidades de discapacidad</w:t>
      </w:r>
      <w:r w:rsidR="00686BC1">
        <w:rPr>
          <w:rFonts w:ascii="Arial" w:hAnsi="Arial" w:cs="Arial"/>
        </w:rPr>
        <w:t xml:space="preserve"> (Organización Mundial de la Salud, 2001)</w:t>
      </w:r>
      <w:r w:rsidR="00A10E57" w:rsidRPr="00032D45">
        <w:rPr>
          <w:rFonts w:ascii="Arial" w:hAnsi="Arial" w:cs="Arial"/>
        </w:rPr>
        <w:t>.</w:t>
      </w:r>
      <w:r w:rsidR="00E52724">
        <w:rPr>
          <w:rFonts w:ascii="Arial" w:hAnsi="Arial" w:cs="Arial"/>
        </w:rPr>
        <w:t xml:space="preserve"> </w:t>
      </w:r>
      <w:r w:rsidR="00E52724" w:rsidRPr="00032D45">
        <w:rPr>
          <w:rFonts w:ascii="Arial" w:hAnsi="Arial" w:cs="Arial"/>
        </w:rPr>
        <w:t xml:space="preserve">De igual manera, en esta fase negociadora, debemos destacar el acuerdo en incluir en el texto final la frase </w:t>
      </w:r>
      <w:r w:rsidR="00E52724" w:rsidRPr="00032D45">
        <w:rPr>
          <w:rFonts w:ascii="Arial" w:hAnsi="Arial" w:cs="Arial"/>
          <w:i/>
        </w:rPr>
        <w:t>“en pie de igualdad con las demás personas”</w:t>
      </w:r>
      <w:r w:rsidR="00E52724" w:rsidRPr="00032D45">
        <w:rPr>
          <w:rFonts w:ascii="Arial" w:hAnsi="Arial" w:cs="Arial"/>
        </w:rPr>
        <w:t>, lo que venía a otorgar un papel esencial al “principio de no discriminación por motivos de discapacidad”, sobre el que posteriormente abundaremos.</w:t>
      </w:r>
      <w:r w:rsidR="001140E5" w:rsidRPr="00032D45">
        <w:rPr>
          <w:rFonts w:ascii="Arial" w:hAnsi="Arial" w:cs="Arial"/>
        </w:rPr>
        <w:br/>
      </w:r>
    </w:p>
    <w:p w:rsidR="006153DC" w:rsidRPr="00032D45" w:rsidRDefault="00E52724" w:rsidP="00CC01B7">
      <w:pPr>
        <w:widowControl w:val="0"/>
        <w:autoSpaceDE w:val="0"/>
        <w:autoSpaceDN w:val="0"/>
        <w:adjustRightInd w:val="0"/>
        <w:spacing w:after="0"/>
        <w:rPr>
          <w:rFonts w:ascii="Arial" w:hAnsi="Arial" w:cs="Arial"/>
        </w:rPr>
      </w:pPr>
      <w:r w:rsidRPr="00032D45">
        <w:rPr>
          <w:rFonts w:ascii="Arial" w:hAnsi="Arial" w:cs="Arial"/>
        </w:rPr>
        <w:t xml:space="preserve">Este Tratado internacional, ratificado por más de 160 países, aceptado de forma abrumadora por la comunidad internacional, proclama en su </w:t>
      </w:r>
      <w:r w:rsidRPr="00032D45">
        <w:rPr>
          <w:rFonts w:ascii="Arial" w:hAnsi="Arial" w:cs="Arial"/>
          <w:i/>
        </w:rPr>
        <w:t>artículo 29</w:t>
      </w:r>
      <w:r w:rsidRPr="00032D45">
        <w:rPr>
          <w:rFonts w:ascii="Arial" w:hAnsi="Arial" w:cs="Arial"/>
        </w:rPr>
        <w:t xml:space="preserve"> el</w:t>
      </w:r>
      <w:r w:rsidRPr="00032D45">
        <w:rPr>
          <w:rFonts w:ascii="Arial" w:hAnsi="Arial" w:cs="Arial"/>
          <w:i/>
        </w:rPr>
        <w:t xml:space="preserve"> derecho de participación política de las personas con discapacidad en igualdad de condiciones que el resto de ciudadanos</w:t>
      </w:r>
      <w:r w:rsidRPr="00032D45">
        <w:rPr>
          <w:rFonts w:ascii="Arial" w:hAnsi="Arial" w:cs="Arial"/>
        </w:rPr>
        <w:t>.</w:t>
      </w:r>
      <w:r>
        <w:rPr>
          <w:rFonts w:ascii="Arial" w:hAnsi="Arial" w:cs="Arial"/>
        </w:rPr>
        <w:t xml:space="preserve"> </w:t>
      </w:r>
      <w:r w:rsidR="000D0590" w:rsidRPr="00032D45">
        <w:rPr>
          <w:rFonts w:ascii="Arial" w:hAnsi="Arial" w:cs="Arial"/>
        </w:rPr>
        <w:t xml:space="preserve">A fin de </w:t>
      </w:r>
      <w:r w:rsidR="00C645C7" w:rsidRPr="00032D45">
        <w:rPr>
          <w:rFonts w:ascii="Arial" w:hAnsi="Arial" w:cs="Arial"/>
        </w:rPr>
        <w:t>dar cumplimiento a</w:t>
      </w:r>
      <w:r w:rsidR="000D0590" w:rsidRPr="00032D45">
        <w:rPr>
          <w:rFonts w:ascii="Arial" w:hAnsi="Arial" w:cs="Arial"/>
        </w:rPr>
        <w:t>l derecho plasmado en el artículo 29</w:t>
      </w:r>
      <w:r w:rsidR="000C533F" w:rsidRPr="00032D45">
        <w:rPr>
          <w:rFonts w:ascii="Arial" w:hAnsi="Arial" w:cs="Arial"/>
        </w:rPr>
        <w:t xml:space="preserve">, </w:t>
      </w:r>
      <w:r w:rsidR="000D0590" w:rsidRPr="00032D45">
        <w:rPr>
          <w:rFonts w:ascii="Arial" w:hAnsi="Arial" w:cs="Arial"/>
        </w:rPr>
        <w:t>con el objeto de</w:t>
      </w:r>
      <w:r w:rsidR="000C533F" w:rsidRPr="00032D45">
        <w:rPr>
          <w:rFonts w:ascii="Arial" w:hAnsi="Arial" w:cs="Arial"/>
        </w:rPr>
        <w:t xml:space="preserve"> superar los obstáculos que pudieran existir al ejercicio de estos derechos, el texto internacional obliga a los Estados a realizar </w:t>
      </w:r>
      <w:r w:rsidR="000C533F" w:rsidRPr="00032D45">
        <w:rPr>
          <w:rFonts w:ascii="Arial" w:hAnsi="Arial" w:cs="Arial"/>
          <w:i/>
        </w:rPr>
        <w:t>“ajustes razonables”</w:t>
      </w:r>
      <w:r w:rsidR="000C533F" w:rsidRPr="00032D45">
        <w:rPr>
          <w:rStyle w:val="Refdenotaalpie"/>
          <w:rFonts w:ascii="Arial" w:hAnsi="Arial" w:cs="Arial"/>
          <w:i/>
        </w:rPr>
        <w:footnoteReference w:id="6"/>
      </w:r>
      <w:r w:rsidR="000C533F" w:rsidRPr="00032D45">
        <w:rPr>
          <w:rFonts w:ascii="Arial" w:hAnsi="Arial" w:cs="Arial"/>
        </w:rPr>
        <w:t xml:space="preserve"> en sus legislaciones y prácticas para garantizar y hacer efectivo el ejercicio de los derechos de participación política de las personas con discapacidad, </w:t>
      </w:r>
      <w:r w:rsidR="000C533F" w:rsidRPr="00032D45">
        <w:rPr>
          <w:rFonts w:ascii="Arial" w:hAnsi="Arial" w:cs="Arial"/>
        </w:rPr>
        <w:lastRenderedPageBreak/>
        <w:t>derechos esenciales para empoderar y dar voz a las personas que tienen algún tipo de discapacidad física, cognitiva</w:t>
      </w:r>
      <w:r w:rsidR="004E2FCA" w:rsidRPr="00032D45">
        <w:rPr>
          <w:rFonts w:ascii="Arial" w:hAnsi="Arial" w:cs="Arial"/>
        </w:rPr>
        <w:t>, psíquica</w:t>
      </w:r>
      <w:r w:rsidR="000C533F" w:rsidRPr="00032D45">
        <w:rPr>
          <w:rFonts w:ascii="Arial" w:hAnsi="Arial" w:cs="Arial"/>
        </w:rPr>
        <w:t xml:space="preserve"> o intelectual.</w:t>
      </w:r>
      <w:r w:rsidR="001719F8" w:rsidRPr="00032D45">
        <w:rPr>
          <w:rStyle w:val="Refdenotaalpie"/>
          <w:rFonts w:ascii="Arial" w:hAnsi="Arial" w:cs="Arial"/>
        </w:rPr>
        <w:footnoteReference w:id="7"/>
      </w:r>
      <w:r w:rsidR="006153DC" w:rsidRPr="00032D45">
        <w:rPr>
          <w:rFonts w:ascii="Arial" w:hAnsi="Arial" w:cs="Arial"/>
        </w:rPr>
        <w:t xml:space="preserve"> En relación a este derecho de participación política, el nuevo tratado no se limita a enunciar intenciones o principios inspiradores, sino que define de manera precisa derechos para las personas con discapacidad y obligaciones para los Estados.</w:t>
      </w:r>
    </w:p>
    <w:p w:rsidR="006153DC" w:rsidRPr="00032D45" w:rsidRDefault="006153DC" w:rsidP="00CC01B7">
      <w:pPr>
        <w:widowControl w:val="0"/>
        <w:autoSpaceDE w:val="0"/>
        <w:autoSpaceDN w:val="0"/>
        <w:adjustRightInd w:val="0"/>
        <w:spacing w:after="0"/>
        <w:ind w:left="1066"/>
        <w:rPr>
          <w:rFonts w:ascii="Arial" w:hAnsi="Arial" w:cs="Arial"/>
          <w:b/>
        </w:rPr>
      </w:pPr>
    </w:p>
    <w:p w:rsidR="000C533F" w:rsidRPr="00032D45" w:rsidRDefault="006153DC" w:rsidP="00CC01B7">
      <w:pPr>
        <w:spacing w:after="0"/>
        <w:rPr>
          <w:rFonts w:ascii="Arial" w:hAnsi="Arial" w:cs="Arial"/>
        </w:rPr>
      </w:pPr>
      <w:r w:rsidRPr="00032D45">
        <w:rPr>
          <w:rFonts w:ascii="Arial" w:hAnsi="Arial" w:cs="Arial"/>
        </w:rPr>
        <w:t>De manera que, si desglosamos su contenido, podemos comprobar que el artículo 29 de la CDPD recoge y proclama los siguientes derechos políticos para las personas con discapacidad:</w:t>
      </w:r>
    </w:p>
    <w:p w:rsidR="000C533F" w:rsidRPr="00032D45" w:rsidRDefault="000C533F" w:rsidP="00CC01B7">
      <w:pPr>
        <w:spacing w:after="0"/>
        <w:rPr>
          <w:rFonts w:ascii="Arial" w:hAnsi="Arial" w:cs="Arial"/>
        </w:rPr>
      </w:pPr>
    </w:p>
    <w:p w:rsidR="000C533F" w:rsidRPr="00032D45" w:rsidRDefault="000C533F" w:rsidP="00CC01B7">
      <w:pPr>
        <w:spacing w:after="0"/>
        <w:rPr>
          <w:rFonts w:ascii="Arial" w:hAnsi="Arial" w:cs="Arial"/>
        </w:rPr>
      </w:pPr>
      <w:r w:rsidRPr="00032D45">
        <w:rPr>
          <w:rFonts w:ascii="Arial" w:hAnsi="Arial" w:cs="Arial"/>
        </w:rPr>
        <w:tab/>
        <w:t xml:space="preserve">1) Derecho de voto en elecciones y referéndums; voto secreto, libre e igual. </w:t>
      </w:r>
    </w:p>
    <w:p w:rsidR="000C533F" w:rsidRPr="00032D45" w:rsidRDefault="000C533F" w:rsidP="00CC01B7">
      <w:pPr>
        <w:spacing w:after="0"/>
        <w:ind w:firstLine="708"/>
        <w:rPr>
          <w:rFonts w:ascii="Arial" w:hAnsi="Arial" w:cs="Arial"/>
        </w:rPr>
      </w:pPr>
      <w:r w:rsidRPr="00032D45">
        <w:rPr>
          <w:rFonts w:ascii="Arial" w:hAnsi="Arial" w:cs="Arial"/>
        </w:rPr>
        <w:t>2) Derecho a ser elegidas para ocupar cargos públicos.</w:t>
      </w:r>
    </w:p>
    <w:p w:rsidR="000C533F" w:rsidRPr="00032D45" w:rsidRDefault="000C533F" w:rsidP="00CC01B7">
      <w:pPr>
        <w:spacing w:after="0"/>
        <w:ind w:left="708"/>
        <w:rPr>
          <w:rFonts w:ascii="Arial" w:hAnsi="Arial" w:cs="Arial"/>
        </w:rPr>
      </w:pPr>
      <w:r w:rsidRPr="00032D45">
        <w:rPr>
          <w:rFonts w:ascii="Arial" w:hAnsi="Arial" w:cs="Arial"/>
        </w:rPr>
        <w:t>3) Derecho de participación en organizaciones y asociaciones no gubernamentales.</w:t>
      </w:r>
    </w:p>
    <w:p w:rsidR="000C533F" w:rsidRPr="00032D45" w:rsidRDefault="000C533F" w:rsidP="00CC01B7">
      <w:pPr>
        <w:spacing w:after="0"/>
        <w:ind w:left="708"/>
        <w:rPr>
          <w:rFonts w:ascii="Arial" w:hAnsi="Arial" w:cs="Arial"/>
        </w:rPr>
      </w:pPr>
      <w:r w:rsidRPr="00032D45">
        <w:rPr>
          <w:rFonts w:ascii="Arial" w:hAnsi="Arial" w:cs="Arial"/>
        </w:rPr>
        <w:t>4) Derecho de constituir organizaciones relacionadas con la vida pública y política.</w:t>
      </w:r>
    </w:p>
    <w:p w:rsidR="000C533F" w:rsidRPr="00032D45" w:rsidRDefault="000C533F" w:rsidP="00CC01B7">
      <w:pPr>
        <w:widowControl w:val="0"/>
        <w:spacing w:after="0"/>
        <w:ind w:left="708"/>
        <w:rPr>
          <w:rFonts w:ascii="Arial" w:hAnsi="Arial" w:cs="Arial"/>
          <w:i/>
        </w:rPr>
      </w:pPr>
      <w:r w:rsidRPr="00032D45">
        <w:rPr>
          <w:rFonts w:ascii="Arial" w:hAnsi="Arial" w:cs="Arial"/>
        </w:rPr>
        <w:t>5) Derecho a designar a una persona de su elección para que les preste asistencia para votar, si así lo solicitan.</w:t>
      </w:r>
      <w:r w:rsidRPr="00032D45">
        <w:rPr>
          <w:rFonts w:ascii="Arial" w:hAnsi="Arial" w:cs="Arial"/>
          <w:i/>
        </w:rPr>
        <w:t xml:space="preserve"> </w:t>
      </w:r>
    </w:p>
    <w:p w:rsidR="000C533F" w:rsidRPr="00032D45" w:rsidRDefault="000C533F" w:rsidP="00CC01B7">
      <w:pPr>
        <w:widowControl w:val="0"/>
        <w:spacing w:after="0"/>
        <w:ind w:firstLine="708"/>
        <w:rPr>
          <w:rFonts w:ascii="Arial" w:hAnsi="Arial" w:cs="Arial"/>
        </w:rPr>
      </w:pPr>
    </w:p>
    <w:p w:rsidR="000C533F" w:rsidRPr="00032D45" w:rsidRDefault="000C533F" w:rsidP="00CC01B7">
      <w:pPr>
        <w:widowControl w:val="0"/>
        <w:spacing w:after="0"/>
        <w:rPr>
          <w:rFonts w:ascii="Arial" w:hAnsi="Arial" w:cs="Arial"/>
        </w:rPr>
      </w:pPr>
      <w:r w:rsidRPr="00032D45">
        <w:rPr>
          <w:rFonts w:ascii="Arial" w:hAnsi="Arial" w:cs="Arial"/>
        </w:rPr>
        <w:t>Derechos que, a su vez, implican las siguientes obligaciones para los Estados que son Parte de la Convención:</w:t>
      </w:r>
      <w:r w:rsidRPr="00032D45">
        <w:rPr>
          <w:rStyle w:val="Refdenotaalpie"/>
          <w:rFonts w:ascii="Arial" w:hAnsi="Arial" w:cs="Arial"/>
        </w:rPr>
        <w:footnoteReference w:id="8"/>
      </w:r>
    </w:p>
    <w:p w:rsidR="000C533F" w:rsidRPr="00032D45" w:rsidRDefault="000C533F" w:rsidP="00CC01B7">
      <w:pPr>
        <w:spacing w:after="0"/>
        <w:rPr>
          <w:rFonts w:ascii="Arial" w:hAnsi="Arial" w:cs="Arial"/>
        </w:rPr>
      </w:pPr>
    </w:p>
    <w:p w:rsidR="000C533F" w:rsidRPr="00032D45" w:rsidRDefault="000C533F" w:rsidP="00CC01B7">
      <w:pPr>
        <w:spacing w:after="0"/>
        <w:ind w:left="705"/>
        <w:rPr>
          <w:rFonts w:ascii="Arial" w:hAnsi="Arial" w:cs="Arial"/>
        </w:rPr>
      </w:pPr>
      <w:r w:rsidRPr="00032D45">
        <w:rPr>
          <w:rFonts w:ascii="Arial" w:hAnsi="Arial" w:cs="Arial"/>
        </w:rPr>
        <w:t xml:space="preserve">1) Los Estados deben garantizar el ejercicio efectivo de los derechos </w:t>
      </w:r>
      <w:r w:rsidR="002F32BB" w:rsidRPr="00032D45">
        <w:rPr>
          <w:rFonts w:ascii="Arial" w:hAnsi="Arial" w:cs="Arial"/>
        </w:rPr>
        <w:t>p</w:t>
      </w:r>
      <w:r w:rsidRPr="00032D45">
        <w:rPr>
          <w:rFonts w:ascii="Arial" w:hAnsi="Arial" w:cs="Arial"/>
        </w:rPr>
        <w:t>roclamados en la Convención.</w:t>
      </w:r>
    </w:p>
    <w:p w:rsidR="000C533F" w:rsidRPr="00032D45" w:rsidRDefault="000C533F" w:rsidP="00CC01B7">
      <w:pPr>
        <w:spacing w:after="0"/>
        <w:ind w:left="705"/>
        <w:rPr>
          <w:rFonts w:ascii="Arial" w:hAnsi="Arial" w:cs="Arial"/>
        </w:rPr>
      </w:pPr>
      <w:r w:rsidRPr="00032D45">
        <w:rPr>
          <w:rFonts w:ascii="Arial" w:hAnsi="Arial" w:cs="Arial"/>
        </w:rPr>
        <w:t>2) Los Estados deben garantizar y asegurar el goce efectivo de estos derechos por las personas con discapacidad en igualdad de condiciones con las demás.</w:t>
      </w:r>
    </w:p>
    <w:p w:rsidR="000C533F" w:rsidRPr="00032D45" w:rsidRDefault="000C533F" w:rsidP="00CC01B7">
      <w:pPr>
        <w:spacing w:after="0"/>
        <w:ind w:left="705"/>
        <w:rPr>
          <w:rFonts w:ascii="Arial" w:hAnsi="Arial" w:cs="Arial"/>
        </w:rPr>
      </w:pPr>
      <w:r w:rsidRPr="00032D45">
        <w:rPr>
          <w:rFonts w:ascii="Arial" w:hAnsi="Arial" w:cs="Arial"/>
        </w:rPr>
        <w:lastRenderedPageBreak/>
        <w:t>3) Los Estados deben garantizar que los procedimientos, instalaciones y materiales sean accesibles y de fácil comprensión para todas las personas con discapacidad.</w:t>
      </w:r>
    </w:p>
    <w:p w:rsidR="000C533F" w:rsidRPr="00032D45" w:rsidRDefault="000C533F" w:rsidP="00CC01B7">
      <w:pPr>
        <w:spacing w:after="0"/>
        <w:ind w:left="705"/>
        <w:rPr>
          <w:rFonts w:ascii="Arial" w:hAnsi="Arial" w:cs="Arial"/>
        </w:rPr>
      </w:pPr>
      <w:r w:rsidRPr="00032D45">
        <w:rPr>
          <w:rFonts w:ascii="Arial" w:hAnsi="Arial" w:cs="Arial"/>
        </w:rPr>
        <w:t>4) Los Estados deben proteger el secreto del voto de las personas con discapacidad.</w:t>
      </w:r>
    </w:p>
    <w:p w:rsidR="000C533F" w:rsidRPr="00032D45" w:rsidRDefault="000C533F" w:rsidP="00CC01B7">
      <w:pPr>
        <w:spacing w:after="0"/>
        <w:ind w:left="708"/>
        <w:rPr>
          <w:rFonts w:ascii="Arial" w:hAnsi="Arial" w:cs="Arial"/>
        </w:rPr>
      </w:pPr>
      <w:r w:rsidRPr="00032D45">
        <w:rPr>
          <w:rFonts w:ascii="Arial" w:hAnsi="Arial" w:cs="Arial"/>
        </w:rPr>
        <w:t>5) Los Estados deben facilitar</w:t>
      </w:r>
      <w:r w:rsidRPr="00032D45">
        <w:rPr>
          <w:rFonts w:ascii="Arial" w:hAnsi="Arial" w:cs="Arial"/>
          <w:i/>
        </w:rPr>
        <w:t xml:space="preserve"> </w:t>
      </w:r>
      <w:r w:rsidRPr="00032D45">
        <w:rPr>
          <w:rFonts w:ascii="Arial" w:hAnsi="Arial" w:cs="Arial"/>
        </w:rPr>
        <w:t>el uso de nuevas tecnologías y tecnologías de apoyo cuando proceda para el ejercicio efectivo de los derechos de participación política de las personas con discapacidad.</w:t>
      </w:r>
    </w:p>
    <w:p w:rsidR="000C533F" w:rsidRPr="00032D45" w:rsidRDefault="000C533F" w:rsidP="00CC01B7">
      <w:pPr>
        <w:spacing w:after="0"/>
        <w:ind w:left="708"/>
        <w:rPr>
          <w:rFonts w:ascii="Arial" w:hAnsi="Arial" w:cs="Arial"/>
        </w:rPr>
      </w:pPr>
      <w:r w:rsidRPr="00032D45">
        <w:rPr>
          <w:rFonts w:ascii="Arial" w:hAnsi="Arial" w:cs="Arial"/>
        </w:rPr>
        <w:t>6) Los Estados deben permitir a las personas con discapacidad que puedan designar a su persona para que les asista en el momento de ejercer su derecho al voto.</w:t>
      </w:r>
    </w:p>
    <w:p w:rsidR="000C533F" w:rsidRPr="00032D45" w:rsidRDefault="000C533F" w:rsidP="00CC01B7">
      <w:pPr>
        <w:spacing w:after="0"/>
        <w:ind w:left="708"/>
        <w:rPr>
          <w:rFonts w:ascii="Arial" w:hAnsi="Arial" w:cs="Arial"/>
        </w:rPr>
      </w:pPr>
      <w:r w:rsidRPr="00032D45">
        <w:rPr>
          <w:rFonts w:ascii="Arial" w:hAnsi="Arial" w:cs="Arial"/>
        </w:rPr>
        <w:t>7) Los Estados deben promover las condiciones necesarias para que las personas con discapacidad puedan participar plena y efectivamente en los asuntos públicos.</w:t>
      </w:r>
    </w:p>
    <w:p w:rsidR="000C533F" w:rsidRPr="00032D45" w:rsidRDefault="000C533F" w:rsidP="00CC01B7">
      <w:pPr>
        <w:spacing w:after="0"/>
        <w:ind w:left="708"/>
        <w:rPr>
          <w:rFonts w:ascii="Arial" w:hAnsi="Arial" w:cs="Arial"/>
          <w:i/>
        </w:rPr>
      </w:pPr>
      <w:r w:rsidRPr="00032D45">
        <w:rPr>
          <w:rFonts w:ascii="Arial" w:hAnsi="Arial" w:cs="Arial"/>
        </w:rPr>
        <w:t>8) Los Estados deben fomentar la participación de las personas con discapacidad en organizaciones y asociaciones no gubernamentales relacionadas con la vida pública y política del país.</w:t>
      </w:r>
      <w:r w:rsidRPr="00032D45">
        <w:rPr>
          <w:rFonts w:ascii="Arial" w:hAnsi="Arial" w:cs="Arial"/>
          <w:i/>
        </w:rPr>
        <w:t xml:space="preserve"> </w:t>
      </w:r>
    </w:p>
    <w:p w:rsidR="000C533F" w:rsidRPr="00032D45" w:rsidRDefault="000C533F" w:rsidP="00CC01B7">
      <w:pPr>
        <w:spacing w:after="0"/>
        <w:ind w:left="708"/>
        <w:rPr>
          <w:rFonts w:ascii="Arial" w:hAnsi="Arial" w:cs="Arial"/>
          <w:i/>
        </w:rPr>
      </w:pPr>
      <w:r w:rsidRPr="00032D45">
        <w:rPr>
          <w:rFonts w:ascii="Arial" w:hAnsi="Arial" w:cs="Arial"/>
        </w:rPr>
        <w:t>9) Los Estados deben fomentar la constitución de organizaciones de personas con discapacidad y su incorporación a estas.</w:t>
      </w:r>
    </w:p>
    <w:p w:rsidR="000C533F" w:rsidRPr="00032D45" w:rsidRDefault="000C533F" w:rsidP="00CC01B7">
      <w:pPr>
        <w:spacing w:after="0"/>
        <w:rPr>
          <w:rFonts w:ascii="Arial" w:hAnsi="Arial" w:cs="Arial"/>
        </w:rPr>
      </w:pPr>
    </w:p>
    <w:p w:rsidR="000C533F" w:rsidRPr="00032D45" w:rsidRDefault="000C533F" w:rsidP="00CC01B7">
      <w:pPr>
        <w:spacing w:after="0"/>
        <w:rPr>
          <w:rFonts w:ascii="Arial" w:hAnsi="Arial" w:cs="Arial"/>
          <w:i/>
        </w:rPr>
      </w:pPr>
      <w:r w:rsidRPr="00032D45">
        <w:rPr>
          <w:rFonts w:ascii="Arial" w:hAnsi="Arial" w:cs="Arial"/>
        </w:rPr>
        <w:t xml:space="preserve">En definitiva, el artículo 29 de la CDPD proclama y establece de forma indubitada, en toda su amplitud, sin mención a ninguna limitación, condición o requisito previo, que </w:t>
      </w:r>
      <w:r w:rsidRPr="00032D45">
        <w:rPr>
          <w:rFonts w:ascii="Arial" w:hAnsi="Arial" w:cs="Arial"/>
          <w:i/>
        </w:rPr>
        <w:t>todas las personas con discapacidad, todas, tienen derecho al voto en elecciones y referendos en igualdad de condiciones que el resto de personas sin discapacidad.</w:t>
      </w:r>
    </w:p>
    <w:p w:rsidR="00261FAA" w:rsidRPr="00032D45" w:rsidRDefault="00261FAA" w:rsidP="00CC01B7">
      <w:pPr>
        <w:spacing w:after="0"/>
        <w:rPr>
          <w:rFonts w:ascii="Arial" w:hAnsi="Arial" w:cs="Arial"/>
          <w:i/>
        </w:rPr>
      </w:pPr>
    </w:p>
    <w:p w:rsidR="00261FAA" w:rsidRPr="00032D45" w:rsidRDefault="00261FAA" w:rsidP="00CC01B7">
      <w:pPr>
        <w:spacing w:after="0"/>
        <w:rPr>
          <w:rFonts w:ascii="Arial" w:hAnsi="Arial" w:cs="Arial"/>
        </w:rPr>
      </w:pPr>
      <w:r w:rsidRPr="00032D45">
        <w:rPr>
          <w:rFonts w:ascii="Arial" w:hAnsi="Arial" w:cs="Arial"/>
        </w:rPr>
        <w:t xml:space="preserve">En conexión con el artículo 29, el artículo 12 </w:t>
      </w:r>
      <w:r w:rsidR="00B771CC" w:rsidRPr="00032D45">
        <w:rPr>
          <w:rFonts w:ascii="Arial" w:hAnsi="Arial" w:cs="Arial"/>
        </w:rPr>
        <w:t>de la Convención</w:t>
      </w:r>
      <w:r w:rsidR="00A83CB6" w:rsidRPr="00032D45">
        <w:rPr>
          <w:rStyle w:val="Refdenotaalpie"/>
          <w:rFonts w:ascii="Arial" w:hAnsi="Arial" w:cs="Arial"/>
        </w:rPr>
        <w:footnoteReference w:id="9"/>
      </w:r>
      <w:r w:rsidR="00B771CC" w:rsidRPr="00032D45">
        <w:rPr>
          <w:rFonts w:ascii="Arial" w:hAnsi="Arial" w:cs="Arial"/>
        </w:rPr>
        <w:t xml:space="preserve"> </w:t>
      </w:r>
      <w:r w:rsidRPr="00032D45">
        <w:rPr>
          <w:rFonts w:ascii="Arial" w:hAnsi="Arial" w:cs="Arial"/>
        </w:rPr>
        <w:t>afirma que las personas con discapacidad tienen capacidad jurídica en igualdad de condiciones con las demás en todos los aspectos de la vida. E</w:t>
      </w:r>
      <w:r w:rsidR="00B771CC" w:rsidRPr="00032D45">
        <w:rPr>
          <w:rFonts w:ascii="Arial" w:hAnsi="Arial" w:cs="Arial"/>
        </w:rPr>
        <w:t>l vínculo entre ambos preceptos</w:t>
      </w:r>
      <w:r w:rsidRPr="00032D45">
        <w:rPr>
          <w:rFonts w:ascii="Arial" w:hAnsi="Arial" w:cs="Arial"/>
        </w:rPr>
        <w:t xml:space="preserve"> </w:t>
      </w:r>
      <w:r w:rsidR="00E30E1D" w:rsidRPr="00032D45">
        <w:rPr>
          <w:rFonts w:ascii="Arial" w:hAnsi="Arial" w:cs="Arial"/>
        </w:rPr>
        <w:t xml:space="preserve">es capital </w:t>
      </w:r>
      <w:r w:rsidRPr="00032D45">
        <w:rPr>
          <w:rFonts w:ascii="Arial" w:hAnsi="Arial" w:cs="Arial"/>
        </w:rPr>
        <w:t xml:space="preserve">habida cuenta que la mayoría de los ordenamientos nacionales restringen o suprimen el derecho de participación política a las personas con discapacidad por </w:t>
      </w:r>
      <w:r w:rsidR="00B771CC" w:rsidRPr="00032D45">
        <w:rPr>
          <w:rFonts w:ascii="Arial" w:hAnsi="Arial" w:cs="Arial"/>
        </w:rPr>
        <w:t xml:space="preserve">entender que </w:t>
      </w:r>
      <w:r w:rsidRPr="00032D45">
        <w:rPr>
          <w:rFonts w:ascii="Arial" w:hAnsi="Arial" w:cs="Arial"/>
        </w:rPr>
        <w:t>carece</w:t>
      </w:r>
      <w:r w:rsidR="00B771CC" w:rsidRPr="00032D45">
        <w:rPr>
          <w:rFonts w:ascii="Arial" w:hAnsi="Arial" w:cs="Arial"/>
        </w:rPr>
        <w:t>n</w:t>
      </w:r>
      <w:r w:rsidRPr="00032D45">
        <w:rPr>
          <w:rFonts w:ascii="Arial" w:hAnsi="Arial" w:cs="Arial"/>
        </w:rPr>
        <w:t xml:space="preserve"> de capacidad jurídica o de obrar para ello</w:t>
      </w:r>
      <w:r w:rsidR="00B771CC" w:rsidRPr="00032D45">
        <w:rPr>
          <w:rFonts w:ascii="Arial" w:hAnsi="Arial" w:cs="Arial"/>
        </w:rPr>
        <w:t>. En muchos casos, es la privación de la capacidad jurídica –normalmente en forma de incapacitación- la que conlleva el impedimento de ejercer el derecho al voto</w:t>
      </w:r>
      <w:r w:rsidR="00AB36C5">
        <w:rPr>
          <w:rFonts w:ascii="Arial" w:hAnsi="Arial" w:cs="Arial"/>
        </w:rPr>
        <w:t xml:space="preserve"> (</w:t>
      </w:r>
      <w:proofErr w:type="spellStart"/>
      <w:r w:rsidR="00AB36C5">
        <w:rPr>
          <w:rFonts w:ascii="Arial" w:hAnsi="Arial" w:cs="Arial"/>
        </w:rPr>
        <w:t>Bariffi</w:t>
      </w:r>
      <w:proofErr w:type="spellEnd"/>
      <w:r w:rsidR="00AB36C5">
        <w:rPr>
          <w:rFonts w:ascii="Arial" w:hAnsi="Arial" w:cs="Arial"/>
        </w:rPr>
        <w:t>, 2015)</w:t>
      </w:r>
      <w:r w:rsidRPr="00032D45">
        <w:rPr>
          <w:rFonts w:ascii="Arial" w:hAnsi="Arial" w:cs="Arial"/>
        </w:rPr>
        <w:t>.</w:t>
      </w:r>
      <w:r w:rsidR="00B771CC" w:rsidRPr="00032D45">
        <w:rPr>
          <w:rFonts w:ascii="Arial" w:hAnsi="Arial" w:cs="Arial"/>
        </w:rPr>
        <w:t xml:space="preserve"> Ahora bien, </w:t>
      </w:r>
      <w:r w:rsidR="0087136D" w:rsidRPr="00032D45">
        <w:rPr>
          <w:rFonts w:ascii="Arial" w:hAnsi="Arial" w:cs="Arial"/>
        </w:rPr>
        <w:t xml:space="preserve">con arreglo al artículo 12, </w:t>
      </w:r>
      <w:r w:rsidR="00B771CC" w:rsidRPr="00032D45">
        <w:rPr>
          <w:rFonts w:ascii="Arial" w:hAnsi="Arial" w:cs="Arial"/>
        </w:rPr>
        <w:t>el reconocimiento de la capacidad jurídica a todas las personas con discapacidad, en conjunción con el artículo 29 de la CDPD, exige un</w:t>
      </w:r>
      <w:r w:rsidR="00E52724">
        <w:rPr>
          <w:rFonts w:ascii="Arial" w:hAnsi="Arial" w:cs="Arial"/>
        </w:rPr>
        <w:t xml:space="preserve"> nueva visión</w:t>
      </w:r>
      <w:r w:rsidR="00B771CC" w:rsidRPr="00032D45">
        <w:rPr>
          <w:rFonts w:ascii="Arial" w:hAnsi="Arial" w:cs="Arial"/>
        </w:rPr>
        <w:t xml:space="preserve"> adaptad</w:t>
      </w:r>
      <w:r w:rsidR="00E52724">
        <w:rPr>
          <w:rFonts w:ascii="Arial" w:hAnsi="Arial" w:cs="Arial"/>
        </w:rPr>
        <w:t>a</w:t>
      </w:r>
      <w:r w:rsidR="00B771CC" w:rsidRPr="00032D45">
        <w:rPr>
          <w:rFonts w:ascii="Arial" w:hAnsi="Arial" w:cs="Arial"/>
        </w:rPr>
        <w:t xml:space="preserve"> al paradigma </w:t>
      </w:r>
      <w:r w:rsidR="00E52244">
        <w:rPr>
          <w:rFonts w:ascii="Arial" w:hAnsi="Arial" w:cs="Arial"/>
        </w:rPr>
        <w:t xml:space="preserve">naciente </w:t>
      </w:r>
      <w:r w:rsidR="00B771CC" w:rsidRPr="00032D45">
        <w:rPr>
          <w:rFonts w:ascii="Arial" w:hAnsi="Arial" w:cs="Arial"/>
        </w:rPr>
        <w:t xml:space="preserve">y </w:t>
      </w:r>
      <w:r w:rsidR="00E52244">
        <w:rPr>
          <w:rFonts w:ascii="Arial" w:hAnsi="Arial" w:cs="Arial"/>
        </w:rPr>
        <w:t>a</w:t>
      </w:r>
      <w:r w:rsidR="00B771CC" w:rsidRPr="00032D45">
        <w:rPr>
          <w:rFonts w:ascii="Arial" w:hAnsi="Arial" w:cs="Arial"/>
        </w:rPr>
        <w:t>l enfoque de derechos humanos que introduce la Convenci</w:t>
      </w:r>
      <w:r w:rsidR="0087136D" w:rsidRPr="00032D45">
        <w:rPr>
          <w:rFonts w:ascii="Arial" w:hAnsi="Arial" w:cs="Arial"/>
        </w:rPr>
        <w:t xml:space="preserve">ón de 2006, cuya consecuencia habría de ser la ampliación y extensión de este derecho de participación política a todas las personas con discapacidad, que tienen capacidad jurídica, y en igualdad de condiciones con las demás personas. </w:t>
      </w:r>
    </w:p>
    <w:p w:rsidR="004B0210" w:rsidRPr="00032D45" w:rsidRDefault="004B0210" w:rsidP="00CC01B7">
      <w:pPr>
        <w:spacing w:after="0"/>
        <w:rPr>
          <w:rFonts w:ascii="Arial" w:hAnsi="Arial" w:cs="Arial"/>
        </w:rPr>
      </w:pPr>
    </w:p>
    <w:p w:rsidR="00A83CB6" w:rsidRPr="00032D45" w:rsidRDefault="00A83CB6" w:rsidP="00CC01B7">
      <w:pPr>
        <w:spacing w:after="0"/>
        <w:rPr>
          <w:rFonts w:ascii="Arial" w:hAnsi="Arial" w:cs="Arial"/>
        </w:rPr>
      </w:pPr>
      <w:r w:rsidRPr="00032D45">
        <w:rPr>
          <w:rFonts w:ascii="Arial" w:hAnsi="Arial" w:cs="Arial"/>
        </w:rPr>
        <w:lastRenderedPageBreak/>
        <w:t xml:space="preserve">En consecuencia, comprobamos que la Convención supera el enfoque tradicionalmente manejado sobre la capacidad jurídica, el “modelo de sustitución en la toma de decisiones”, que implicaba diferenciar entre capacidad jurídica y capacidad de obrar, y que perpetuaba figuras como la </w:t>
      </w:r>
      <w:r w:rsidRPr="00032D45">
        <w:rPr>
          <w:rFonts w:ascii="Arial" w:hAnsi="Arial" w:cs="Arial"/>
          <w:i/>
        </w:rPr>
        <w:t>tutela</w:t>
      </w:r>
      <w:r w:rsidRPr="00032D45">
        <w:rPr>
          <w:rFonts w:ascii="Arial" w:hAnsi="Arial" w:cs="Arial"/>
        </w:rPr>
        <w:t xml:space="preserve">, para adoptar un nuevo modelo, el </w:t>
      </w:r>
      <w:r w:rsidRPr="00032D45">
        <w:rPr>
          <w:rFonts w:ascii="Arial" w:hAnsi="Arial" w:cs="Arial"/>
          <w:i/>
        </w:rPr>
        <w:t>“modelo de asistencia en la toma de decisiones”</w:t>
      </w:r>
      <w:r w:rsidRPr="00032D45">
        <w:rPr>
          <w:rFonts w:ascii="Arial" w:hAnsi="Arial" w:cs="Arial"/>
        </w:rPr>
        <w:t>, que deb</w:t>
      </w:r>
      <w:r w:rsidR="005B4444" w:rsidRPr="00032D45">
        <w:rPr>
          <w:rFonts w:ascii="Arial" w:hAnsi="Arial" w:cs="Arial"/>
        </w:rPr>
        <w:t>e</w:t>
      </w:r>
      <w:r w:rsidRPr="00032D45">
        <w:rPr>
          <w:rFonts w:ascii="Arial" w:hAnsi="Arial" w:cs="Arial"/>
        </w:rPr>
        <w:t xml:space="preserve"> </w:t>
      </w:r>
      <w:r w:rsidR="005B4444" w:rsidRPr="00032D45">
        <w:rPr>
          <w:rFonts w:ascii="Arial" w:hAnsi="Arial" w:cs="Arial"/>
        </w:rPr>
        <w:t xml:space="preserve">de </w:t>
      </w:r>
      <w:r w:rsidRPr="00032D45">
        <w:rPr>
          <w:rFonts w:ascii="Arial" w:hAnsi="Arial" w:cs="Arial"/>
        </w:rPr>
        <w:t>garantizar el derecho a la igualdad de las personas con discapacidad, tanto en lo que atañe a la capacidad jurídica como a la capacidad de obrar, y que debía traducirse en la búsqueda de una nueva figura jurídica, basada en medidas de apoyo para la toma de decisiones a las personas con discapacidad, en detrimento de las tradicionales medidas de sustitución</w:t>
      </w:r>
      <w:r w:rsidR="00AB36C5">
        <w:rPr>
          <w:rFonts w:ascii="Arial" w:hAnsi="Arial" w:cs="Arial"/>
        </w:rPr>
        <w:t xml:space="preserve"> (I</w:t>
      </w:r>
      <w:r w:rsidR="00AB36C5" w:rsidRPr="00AB36C5">
        <w:rPr>
          <w:rFonts w:ascii="Arial" w:hAnsi="Arial" w:cs="Arial"/>
        </w:rPr>
        <w:t xml:space="preserve">nstituto de </w:t>
      </w:r>
      <w:r w:rsidR="00AB36C5">
        <w:rPr>
          <w:rFonts w:ascii="Arial" w:hAnsi="Arial" w:cs="Arial"/>
        </w:rPr>
        <w:t>D</w:t>
      </w:r>
      <w:r w:rsidR="00AB36C5" w:rsidRPr="00AB36C5">
        <w:rPr>
          <w:rFonts w:ascii="Arial" w:hAnsi="Arial" w:cs="Arial"/>
        </w:rPr>
        <w:t xml:space="preserve">erechos </w:t>
      </w:r>
      <w:r w:rsidR="00AB36C5">
        <w:rPr>
          <w:rFonts w:ascii="Arial" w:hAnsi="Arial" w:cs="Arial"/>
        </w:rPr>
        <w:t>H</w:t>
      </w:r>
      <w:r w:rsidR="00AB36C5" w:rsidRPr="00AB36C5">
        <w:rPr>
          <w:rFonts w:ascii="Arial" w:hAnsi="Arial" w:cs="Arial"/>
        </w:rPr>
        <w:t xml:space="preserve">umanos </w:t>
      </w:r>
      <w:r w:rsidR="00AB36C5">
        <w:rPr>
          <w:rFonts w:ascii="Arial" w:hAnsi="Arial" w:cs="Arial"/>
        </w:rPr>
        <w:t>B</w:t>
      </w:r>
      <w:r w:rsidR="00AB36C5" w:rsidRPr="00AB36C5">
        <w:rPr>
          <w:rFonts w:ascii="Arial" w:hAnsi="Arial" w:cs="Arial"/>
        </w:rPr>
        <w:t xml:space="preserve">artolomé de las </w:t>
      </w:r>
      <w:r w:rsidR="00AB36C5">
        <w:rPr>
          <w:rFonts w:ascii="Arial" w:hAnsi="Arial" w:cs="Arial"/>
        </w:rPr>
        <w:t>C</w:t>
      </w:r>
      <w:r w:rsidR="00AB36C5" w:rsidRPr="00AB36C5">
        <w:rPr>
          <w:rFonts w:ascii="Arial" w:hAnsi="Arial" w:cs="Arial"/>
        </w:rPr>
        <w:t xml:space="preserve">asas de la </w:t>
      </w:r>
      <w:r w:rsidR="00AB36C5">
        <w:rPr>
          <w:rFonts w:ascii="Arial" w:hAnsi="Arial" w:cs="Arial"/>
        </w:rPr>
        <w:t>U</w:t>
      </w:r>
      <w:r w:rsidR="00AB36C5" w:rsidRPr="00AB36C5">
        <w:rPr>
          <w:rFonts w:ascii="Arial" w:hAnsi="Arial" w:cs="Arial"/>
        </w:rPr>
        <w:t xml:space="preserve">niversidad </w:t>
      </w:r>
      <w:r w:rsidR="00AB36C5">
        <w:rPr>
          <w:rFonts w:ascii="Arial" w:hAnsi="Arial" w:cs="Arial"/>
        </w:rPr>
        <w:t>C</w:t>
      </w:r>
      <w:r w:rsidR="00AB36C5" w:rsidRPr="00AB36C5">
        <w:rPr>
          <w:rFonts w:ascii="Arial" w:hAnsi="Arial" w:cs="Arial"/>
        </w:rPr>
        <w:t xml:space="preserve">arlos </w:t>
      </w:r>
      <w:r w:rsidR="00AB36C5">
        <w:rPr>
          <w:rFonts w:ascii="Arial" w:hAnsi="Arial" w:cs="Arial"/>
        </w:rPr>
        <w:t>III</w:t>
      </w:r>
      <w:r w:rsidR="00AB36C5" w:rsidRPr="00AB36C5">
        <w:rPr>
          <w:rFonts w:ascii="Arial" w:hAnsi="Arial" w:cs="Arial"/>
        </w:rPr>
        <w:t xml:space="preserve"> de </w:t>
      </w:r>
      <w:r w:rsidR="00AB36C5">
        <w:rPr>
          <w:rFonts w:ascii="Arial" w:hAnsi="Arial" w:cs="Arial"/>
        </w:rPr>
        <w:t>M</w:t>
      </w:r>
      <w:r w:rsidR="00AB36C5" w:rsidRPr="00AB36C5">
        <w:rPr>
          <w:rFonts w:ascii="Arial" w:hAnsi="Arial" w:cs="Arial"/>
        </w:rPr>
        <w:t>adrid</w:t>
      </w:r>
      <w:r w:rsidR="00AB36C5">
        <w:rPr>
          <w:rFonts w:ascii="Arial" w:hAnsi="Arial" w:cs="Arial"/>
        </w:rPr>
        <w:t>, 2008)</w:t>
      </w:r>
      <w:r w:rsidRPr="00032D45">
        <w:rPr>
          <w:rFonts w:ascii="Arial" w:hAnsi="Arial" w:cs="Arial"/>
        </w:rPr>
        <w:t>.</w:t>
      </w:r>
    </w:p>
    <w:p w:rsidR="000C533F" w:rsidRPr="00032D45" w:rsidRDefault="000C533F" w:rsidP="00CC01B7">
      <w:pPr>
        <w:spacing w:after="0"/>
        <w:rPr>
          <w:rFonts w:ascii="Arial" w:hAnsi="Arial" w:cs="Arial"/>
        </w:rPr>
      </w:pPr>
    </w:p>
    <w:p w:rsidR="000C533F" w:rsidRPr="00032D45" w:rsidRDefault="0087136D" w:rsidP="00CC01B7">
      <w:pPr>
        <w:spacing w:after="0"/>
        <w:rPr>
          <w:rFonts w:ascii="Arial" w:hAnsi="Arial" w:cs="Arial"/>
        </w:rPr>
      </w:pPr>
      <w:r w:rsidRPr="00032D45">
        <w:rPr>
          <w:rFonts w:ascii="Arial" w:hAnsi="Arial" w:cs="Arial"/>
        </w:rPr>
        <w:t>Por lo tanto</w:t>
      </w:r>
      <w:r w:rsidR="000C533F" w:rsidRPr="00032D45">
        <w:rPr>
          <w:rFonts w:ascii="Arial" w:hAnsi="Arial" w:cs="Arial"/>
        </w:rPr>
        <w:t>, en primer lugar, podemos concluir que impedir el derecho de voto de las personas con discapacidad con</w:t>
      </w:r>
      <w:r w:rsidRPr="00032D45">
        <w:rPr>
          <w:rFonts w:ascii="Arial" w:hAnsi="Arial" w:cs="Arial"/>
        </w:rPr>
        <w:t xml:space="preserve">travendría </w:t>
      </w:r>
      <w:r w:rsidR="000C533F" w:rsidRPr="00032D45">
        <w:rPr>
          <w:rFonts w:ascii="Arial" w:hAnsi="Arial" w:cs="Arial"/>
        </w:rPr>
        <w:t xml:space="preserve">normas internacionales </w:t>
      </w:r>
      <w:r w:rsidRPr="00032D45">
        <w:rPr>
          <w:rFonts w:ascii="Arial" w:hAnsi="Arial" w:cs="Arial"/>
        </w:rPr>
        <w:t xml:space="preserve">(artículo 12 y artículo 29) </w:t>
      </w:r>
      <w:r w:rsidR="000C533F" w:rsidRPr="00032D45">
        <w:rPr>
          <w:rFonts w:ascii="Arial" w:hAnsi="Arial" w:cs="Arial"/>
        </w:rPr>
        <w:t xml:space="preserve">que son obligatorias para los Estados que han ratificado la CDPD; y, segundo, el tratado internacional </w:t>
      </w:r>
      <w:r w:rsidRPr="00032D45">
        <w:rPr>
          <w:rFonts w:ascii="Arial" w:hAnsi="Arial" w:cs="Arial"/>
        </w:rPr>
        <w:t xml:space="preserve">de 2006 </w:t>
      </w:r>
      <w:r w:rsidR="000C533F" w:rsidRPr="00032D45">
        <w:rPr>
          <w:rFonts w:ascii="Arial" w:hAnsi="Arial" w:cs="Arial"/>
        </w:rPr>
        <w:t>no exige ninguna condición o requisito previo a las personas con discapacidad para poder ejercer su derecho de voto, pues la voluntad de los Estados signatarios de la Convención internacional, y de los propios Estados que la han ratificado -salvo las escasas reservas y declaraciones interpretativas formuladas sobre este artículo</w:t>
      </w:r>
      <w:r w:rsidR="000C533F" w:rsidRPr="00032D45">
        <w:rPr>
          <w:rStyle w:val="Refdenotaalpie"/>
          <w:rFonts w:ascii="Arial" w:hAnsi="Arial" w:cs="Arial"/>
        </w:rPr>
        <w:footnoteReference w:id="10"/>
      </w:r>
      <w:r w:rsidR="000C533F" w:rsidRPr="00032D45">
        <w:rPr>
          <w:rFonts w:ascii="Arial" w:hAnsi="Arial" w:cs="Arial"/>
        </w:rPr>
        <w:t xml:space="preserve">-, tal y como quedó plasmado en el tratado, radicó en que todas las personas con discapacidad </w:t>
      </w:r>
      <w:r w:rsidR="004E2FCA" w:rsidRPr="00032D45">
        <w:rPr>
          <w:rFonts w:ascii="Arial" w:hAnsi="Arial" w:cs="Arial"/>
        </w:rPr>
        <w:t xml:space="preserve">–sin distinción- </w:t>
      </w:r>
      <w:r w:rsidR="000C533F" w:rsidRPr="00032D45">
        <w:rPr>
          <w:rFonts w:ascii="Arial" w:hAnsi="Arial" w:cs="Arial"/>
        </w:rPr>
        <w:t xml:space="preserve">deben ver reconocido y salvaguardado su derecho al voto. </w:t>
      </w:r>
    </w:p>
    <w:p w:rsidR="007C771B" w:rsidRPr="00032D45" w:rsidRDefault="007C771B" w:rsidP="00CC01B7">
      <w:pPr>
        <w:spacing w:after="0"/>
        <w:rPr>
          <w:rFonts w:ascii="Arial" w:hAnsi="Arial" w:cs="Arial"/>
        </w:rPr>
      </w:pPr>
    </w:p>
    <w:p w:rsidR="007C771B" w:rsidRPr="00032D45" w:rsidRDefault="007C771B" w:rsidP="00CC01B7">
      <w:pPr>
        <w:spacing w:after="0"/>
        <w:rPr>
          <w:rFonts w:ascii="Arial" w:hAnsi="Arial" w:cs="Arial"/>
          <w:i/>
        </w:rPr>
      </w:pPr>
      <w:r w:rsidRPr="00032D45">
        <w:rPr>
          <w:rFonts w:ascii="Arial" w:hAnsi="Arial" w:cs="Arial"/>
        </w:rPr>
        <w:t xml:space="preserve">Por tanto, de acuerdo con el </w:t>
      </w:r>
      <w:proofErr w:type="spellStart"/>
      <w:r w:rsidRPr="00032D45">
        <w:rPr>
          <w:rFonts w:ascii="Arial" w:hAnsi="Arial" w:cs="Arial"/>
        </w:rPr>
        <w:t>brocardo</w:t>
      </w:r>
      <w:proofErr w:type="spellEnd"/>
      <w:r w:rsidRPr="00032D45">
        <w:rPr>
          <w:rFonts w:ascii="Arial" w:hAnsi="Arial" w:cs="Arial"/>
        </w:rPr>
        <w:t xml:space="preserve"> latino </w:t>
      </w:r>
      <w:r w:rsidRPr="00032D45">
        <w:rPr>
          <w:rFonts w:ascii="Arial" w:hAnsi="Arial" w:cs="Arial"/>
          <w:i/>
        </w:rPr>
        <w:t>“</w:t>
      </w:r>
      <w:proofErr w:type="spellStart"/>
      <w:r w:rsidRPr="00032D45">
        <w:rPr>
          <w:rFonts w:ascii="Arial" w:hAnsi="Arial" w:cs="Arial"/>
          <w:i/>
        </w:rPr>
        <w:t>ubi</w:t>
      </w:r>
      <w:proofErr w:type="spellEnd"/>
      <w:r w:rsidRPr="00032D45">
        <w:rPr>
          <w:rFonts w:ascii="Arial" w:hAnsi="Arial" w:cs="Arial"/>
          <w:i/>
        </w:rPr>
        <w:t xml:space="preserve"> </w:t>
      </w:r>
      <w:proofErr w:type="spellStart"/>
      <w:r w:rsidRPr="00032D45">
        <w:rPr>
          <w:rFonts w:ascii="Arial" w:hAnsi="Arial" w:cs="Arial"/>
          <w:i/>
        </w:rPr>
        <w:t>lex</w:t>
      </w:r>
      <w:proofErr w:type="spellEnd"/>
      <w:r w:rsidRPr="00032D45">
        <w:rPr>
          <w:rFonts w:ascii="Arial" w:hAnsi="Arial" w:cs="Arial"/>
          <w:i/>
        </w:rPr>
        <w:t xml:space="preserve"> non </w:t>
      </w:r>
      <w:proofErr w:type="spellStart"/>
      <w:r w:rsidRPr="00032D45">
        <w:rPr>
          <w:rFonts w:ascii="Arial" w:hAnsi="Arial" w:cs="Arial"/>
          <w:i/>
        </w:rPr>
        <w:t>distinguit</w:t>
      </w:r>
      <w:proofErr w:type="spellEnd"/>
      <w:r w:rsidRPr="00032D45">
        <w:rPr>
          <w:rFonts w:ascii="Arial" w:hAnsi="Arial" w:cs="Arial"/>
          <w:i/>
        </w:rPr>
        <w:t xml:space="preserve">, </w:t>
      </w:r>
      <w:proofErr w:type="spellStart"/>
      <w:r w:rsidRPr="00032D45">
        <w:rPr>
          <w:rFonts w:ascii="Arial" w:hAnsi="Arial" w:cs="Arial"/>
          <w:i/>
        </w:rPr>
        <w:t>nec</w:t>
      </w:r>
      <w:proofErr w:type="spellEnd"/>
      <w:r w:rsidRPr="00032D45">
        <w:rPr>
          <w:rFonts w:ascii="Arial" w:hAnsi="Arial" w:cs="Arial"/>
          <w:i/>
        </w:rPr>
        <w:t xml:space="preserve"> non </w:t>
      </w:r>
      <w:proofErr w:type="spellStart"/>
      <w:r w:rsidRPr="00032D45">
        <w:rPr>
          <w:rFonts w:ascii="Arial" w:hAnsi="Arial" w:cs="Arial"/>
          <w:i/>
        </w:rPr>
        <w:t>distinguere</w:t>
      </w:r>
      <w:proofErr w:type="spellEnd"/>
      <w:r w:rsidRPr="00032D45">
        <w:rPr>
          <w:rFonts w:ascii="Arial" w:hAnsi="Arial" w:cs="Arial"/>
          <w:i/>
        </w:rPr>
        <w:t xml:space="preserve"> </w:t>
      </w:r>
      <w:proofErr w:type="spellStart"/>
      <w:r w:rsidRPr="00032D45">
        <w:rPr>
          <w:rFonts w:ascii="Arial" w:hAnsi="Arial" w:cs="Arial"/>
          <w:i/>
        </w:rPr>
        <w:t>debemus</w:t>
      </w:r>
      <w:proofErr w:type="spellEnd"/>
      <w:r w:rsidRPr="00032D45">
        <w:rPr>
          <w:rFonts w:ascii="Arial" w:hAnsi="Arial" w:cs="Arial"/>
          <w:i/>
        </w:rPr>
        <w:t xml:space="preserve">” </w:t>
      </w:r>
      <w:r w:rsidRPr="00032D45">
        <w:rPr>
          <w:rFonts w:ascii="Arial" w:hAnsi="Arial" w:cs="Arial"/>
        </w:rPr>
        <w:t xml:space="preserve">(“Donde la ley no distingue, nosotros no debemos distinguir”), no </w:t>
      </w:r>
      <w:r w:rsidR="001A4B3B" w:rsidRPr="00032D45">
        <w:rPr>
          <w:rFonts w:ascii="Arial" w:hAnsi="Arial" w:cs="Arial"/>
        </w:rPr>
        <w:t xml:space="preserve">cabe </w:t>
      </w:r>
      <w:r w:rsidR="005B4444" w:rsidRPr="00032D45">
        <w:rPr>
          <w:rFonts w:ascii="Arial" w:hAnsi="Arial" w:cs="Arial"/>
          <w:i/>
        </w:rPr>
        <w:t xml:space="preserve">prima facie </w:t>
      </w:r>
      <w:r w:rsidR="001A4B3B" w:rsidRPr="00032D45">
        <w:rPr>
          <w:rFonts w:ascii="Arial" w:hAnsi="Arial" w:cs="Arial"/>
        </w:rPr>
        <w:t xml:space="preserve">otra interpretación </w:t>
      </w:r>
      <w:r w:rsidRPr="00032D45">
        <w:rPr>
          <w:rFonts w:ascii="Arial" w:hAnsi="Arial" w:cs="Arial"/>
        </w:rPr>
        <w:t xml:space="preserve">que </w:t>
      </w:r>
      <w:r w:rsidR="001A4B3B" w:rsidRPr="00032D45">
        <w:rPr>
          <w:rFonts w:ascii="Arial" w:hAnsi="Arial" w:cs="Arial"/>
        </w:rPr>
        <w:t xml:space="preserve">no sea la lógica y literal </w:t>
      </w:r>
      <w:r w:rsidRPr="00032D45">
        <w:rPr>
          <w:rFonts w:ascii="Arial" w:hAnsi="Arial" w:cs="Arial"/>
        </w:rPr>
        <w:t>consistente en reconocer de forma categórica el ejercicio del derecho al voto para todas las personas con discapacidad y la obligación que recae sobre los Estados Partes de promover y facilitar su ejercicio efectivo.</w:t>
      </w:r>
      <w:r w:rsidR="0087136D" w:rsidRPr="00032D45">
        <w:rPr>
          <w:rFonts w:ascii="Arial" w:hAnsi="Arial" w:cs="Arial"/>
        </w:rPr>
        <w:t xml:space="preserve"> Además, la contradicción que pudiera existir entre el artículo 25 del PIDCP</w:t>
      </w:r>
      <w:r w:rsidR="00F65872" w:rsidRPr="00032D45">
        <w:rPr>
          <w:rFonts w:ascii="Arial" w:hAnsi="Arial" w:cs="Arial"/>
        </w:rPr>
        <w:t xml:space="preserve"> y el CG 25</w:t>
      </w:r>
      <w:r w:rsidR="0087136D" w:rsidRPr="00032D45">
        <w:rPr>
          <w:rFonts w:ascii="Arial" w:hAnsi="Arial" w:cs="Arial"/>
        </w:rPr>
        <w:t xml:space="preserve"> </w:t>
      </w:r>
      <w:r w:rsidR="00F65872" w:rsidRPr="00032D45">
        <w:rPr>
          <w:rFonts w:ascii="Arial" w:hAnsi="Arial" w:cs="Arial"/>
        </w:rPr>
        <w:t>con</w:t>
      </w:r>
      <w:r w:rsidR="0087136D" w:rsidRPr="00032D45">
        <w:rPr>
          <w:rFonts w:ascii="Arial" w:hAnsi="Arial" w:cs="Arial"/>
        </w:rPr>
        <w:t xml:space="preserve"> los artículos 12 y 29 de la CDPD </w:t>
      </w:r>
      <w:r w:rsidR="002F32BB" w:rsidRPr="00032D45">
        <w:rPr>
          <w:rFonts w:ascii="Arial" w:hAnsi="Arial" w:cs="Arial"/>
        </w:rPr>
        <w:t xml:space="preserve">podría </w:t>
      </w:r>
      <w:r w:rsidR="0087136D" w:rsidRPr="00032D45">
        <w:rPr>
          <w:rFonts w:ascii="Arial" w:hAnsi="Arial" w:cs="Arial"/>
        </w:rPr>
        <w:t xml:space="preserve">quedar resuelta </w:t>
      </w:r>
      <w:r w:rsidR="002F32BB" w:rsidRPr="00032D45">
        <w:rPr>
          <w:rFonts w:ascii="Arial" w:hAnsi="Arial" w:cs="Arial"/>
        </w:rPr>
        <w:t>en base a lo</w:t>
      </w:r>
      <w:r w:rsidR="0087136D" w:rsidRPr="00032D45">
        <w:rPr>
          <w:rFonts w:ascii="Arial" w:hAnsi="Arial" w:cs="Arial"/>
        </w:rPr>
        <w:t xml:space="preserve">s dos criterios de prelación </w:t>
      </w:r>
      <w:r w:rsidR="00CF1FC9" w:rsidRPr="00032D45">
        <w:rPr>
          <w:rFonts w:ascii="Arial" w:hAnsi="Arial" w:cs="Arial"/>
        </w:rPr>
        <w:t>de fuentes</w:t>
      </w:r>
      <w:r w:rsidR="0087136D" w:rsidRPr="00032D45">
        <w:rPr>
          <w:rFonts w:ascii="Arial" w:hAnsi="Arial" w:cs="Arial"/>
        </w:rPr>
        <w:t xml:space="preserve"> existentes en Derecho internacional público: </w:t>
      </w:r>
      <w:r w:rsidR="0087136D" w:rsidRPr="00032D45">
        <w:rPr>
          <w:rFonts w:ascii="Arial" w:hAnsi="Arial" w:cs="Arial"/>
          <w:i/>
        </w:rPr>
        <w:t xml:space="preserve">“Ley posterior </w:t>
      </w:r>
      <w:proofErr w:type="spellStart"/>
      <w:r w:rsidR="0087136D" w:rsidRPr="00032D45">
        <w:rPr>
          <w:rFonts w:ascii="Arial" w:hAnsi="Arial" w:cs="Arial"/>
          <w:i/>
        </w:rPr>
        <w:t>derogat</w:t>
      </w:r>
      <w:proofErr w:type="spellEnd"/>
      <w:r w:rsidR="0087136D" w:rsidRPr="00032D45">
        <w:rPr>
          <w:rFonts w:ascii="Arial" w:hAnsi="Arial" w:cs="Arial"/>
          <w:i/>
        </w:rPr>
        <w:t xml:space="preserve"> prior</w:t>
      </w:r>
      <w:r w:rsidR="00F65872" w:rsidRPr="00032D45">
        <w:rPr>
          <w:rFonts w:ascii="Arial" w:hAnsi="Arial" w:cs="Arial"/>
          <w:i/>
        </w:rPr>
        <w:t>i</w:t>
      </w:r>
      <w:r w:rsidR="0087136D" w:rsidRPr="00032D45">
        <w:rPr>
          <w:rFonts w:ascii="Arial" w:hAnsi="Arial" w:cs="Arial"/>
          <w:i/>
        </w:rPr>
        <w:t xml:space="preserve">” </w:t>
      </w:r>
      <w:r w:rsidR="0087136D" w:rsidRPr="00032D45">
        <w:rPr>
          <w:rFonts w:ascii="Arial" w:hAnsi="Arial" w:cs="Arial"/>
        </w:rPr>
        <w:t xml:space="preserve">y </w:t>
      </w:r>
      <w:r w:rsidR="0087136D" w:rsidRPr="00032D45">
        <w:rPr>
          <w:rFonts w:ascii="Arial" w:hAnsi="Arial" w:cs="Arial"/>
          <w:i/>
        </w:rPr>
        <w:t>“</w:t>
      </w:r>
      <w:proofErr w:type="spellStart"/>
      <w:r w:rsidR="00F65872" w:rsidRPr="00032D45">
        <w:rPr>
          <w:rFonts w:ascii="Arial" w:hAnsi="Arial" w:cs="Arial"/>
          <w:i/>
        </w:rPr>
        <w:t>Lex</w:t>
      </w:r>
      <w:proofErr w:type="spellEnd"/>
      <w:r w:rsidR="00F65872" w:rsidRPr="00032D45">
        <w:rPr>
          <w:rFonts w:ascii="Arial" w:hAnsi="Arial" w:cs="Arial"/>
          <w:i/>
        </w:rPr>
        <w:t xml:space="preserve"> </w:t>
      </w:r>
      <w:proofErr w:type="spellStart"/>
      <w:r w:rsidR="00F65872" w:rsidRPr="00032D45">
        <w:rPr>
          <w:rFonts w:ascii="Arial" w:hAnsi="Arial" w:cs="Arial"/>
          <w:i/>
        </w:rPr>
        <w:t>specialis</w:t>
      </w:r>
      <w:proofErr w:type="spellEnd"/>
      <w:r w:rsidR="00F65872" w:rsidRPr="00032D45">
        <w:rPr>
          <w:rFonts w:ascii="Arial" w:hAnsi="Arial" w:cs="Arial"/>
          <w:i/>
        </w:rPr>
        <w:t xml:space="preserve"> </w:t>
      </w:r>
      <w:proofErr w:type="spellStart"/>
      <w:r w:rsidR="00F65872" w:rsidRPr="00032D45">
        <w:rPr>
          <w:rFonts w:ascii="Arial" w:hAnsi="Arial" w:cs="Arial"/>
          <w:i/>
        </w:rPr>
        <w:t>derogat</w:t>
      </w:r>
      <w:proofErr w:type="spellEnd"/>
      <w:r w:rsidR="00F65872" w:rsidRPr="00032D45">
        <w:rPr>
          <w:rFonts w:ascii="Arial" w:hAnsi="Arial" w:cs="Arial"/>
          <w:i/>
        </w:rPr>
        <w:t xml:space="preserve"> </w:t>
      </w:r>
      <w:proofErr w:type="spellStart"/>
      <w:r w:rsidR="00030371">
        <w:rPr>
          <w:rFonts w:ascii="Arial" w:hAnsi="Arial" w:cs="Arial"/>
          <w:i/>
        </w:rPr>
        <w:t>legi</w:t>
      </w:r>
      <w:proofErr w:type="spellEnd"/>
      <w:r w:rsidR="00030371">
        <w:rPr>
          <w:rFonts w:ascii="Arial" w:hAnsi="Arial" w:cs="Arial"/>
          <w:i/>
        </w:rPr>
        <w:t xml:space="preserve"> </w:t>
      </w:r>
      <w:proofErr w:type="spellStart"/>
      <w:r w:rsidR="00F65872" w:rsidRPr="00032D45">
        <w:rPr>
          <w:rFonts w:ascii="Arial" w:hAnsi="Arial" w:cs="Arial"/>
          <w:i/>
        </w:rPr>
        <w:t>generali</w:t>
      </w:r>
      <w:proofErr w:type="spellEnd"/>
      <w:r w:rsidR="0087136D" w:rsidRPr="00032D45">
        <w:rPr>
          <w:rFonts w:ascii="Arial" w:hAnsi="Arial" w:cs="Arial"/>
          <w:i/>
        </w:rPr>
        <w:t>”.</w:t>
      </w:r>
    </w:p>
    <w:p w:rsidR="0091303D" w:rsidRPr="00032D45" w:rsidRDefault="0091303D" w:rsidP="00CC01B7">
      <w:pPr>
        <w:spacing w:after="0"/>
        <w:rPr>
          <w:rFonts w:ascii="Arial" w:hAnsi="Arial" w:cs="Arial"/>
        </w:rPr>
      </w:pPr>
    </w:p>
    <w:p w:rsidR="000C533F" w:rsidRPr="00032D45" w:rsidRDefault="000C533F" w:rsidP="00CC01B7">
      <w:pPr>
        <w:widowControl w:val="0"/>
        <w:autoSpaceDE w:val="0"/>
        <w:autoSpaceDN w:val="0"/>
        <w:adjustRightInd w:val="0"/>
        <w:spacing w:after="0"/>
        <w:ind w:left="709"/>
        <w:rPr>
          <w:rFonts w:ascii="Arial" w:hAnsi="Arial" w:cs="Arial"/>
          <w:b/>
        </w:rPr>
      </w:pPr>
      <w:r w:rsidRPr="00032D45">
        <w:rPr>
          <w:rFonts w:ascii="Arial" w:hAnsi="Arial" w:cs="Arial"/>
          <w:b/>
        </w:rPr>
        <w:t>1.5. El derecho de participación política de las personas con discapacidad en los ordenamientos jurídicos regionales.</w:t>
      </w:r>
    </w:p>
    <w:p w:rsidR="000C533F" w:rsidRPr="00032D45" w:rsidRDefault="000C533F" w:rsidP="00CC01B7">
      <w:pPr>
        <w:widowControl w:val="0"/>
        <w:autoSpaceDE w:val="0"/>
        <w:autoSpaceDN w:val="0"/>
        <w:adjustRightInd w:val="0"/>
        <w:spacing w:after="0"/>
        <w:rPr>
          <w:rFonts w:ascii="Arial" w:hAnsi="Arial" w:cs="Arial"/>
          <w:b/>
        </w:rPr>
      </w:pPr>
      <w:r w:rsidRPr="00032D45">
        <w:rPr>
          <w:rFonts w:ascii="Arial" w:hAnsi="Arial" w:cs="Arial"/>
          <w:b/>
        </w:rPr>
        <w:tab/>
      </w:r>
    </w:p>
    <w:p w:rsidR="000C533F" w:rsidRPr="00032D45" w:rsidRDefault="0053482D" w:rsidP="00CC01B7">
      <w:pPr>
        <w:widowControl w:val="0"/>
        <w:autoSpaceDE w:val="0"/>
        <w:autoSpaceDN w:val="0"/>
        <w:adjustRightInd w:val="0"/>
        <w:spacing w:after="0"/>
        <w:rPr>
          <w:rFonts w:ascii="Arial" w:hAnsi="Arial" w:cs="Arial"/>
        </w:rPr>
      </w:pPr>
      <w:r w:rsidRPr="00032D45">
        <w:rPr>
          <w:rFonts w:ascii="Arial" w:hAnsi="Arial" w:cs="Arial"/>
        </w:rPr>
        <w:t xml:space="preserve">En el continente </w:t>
      </w:r>
      <w:r w:rsidR="000C533F" w:rsidRPr="00032D45">
        <w:rPr>
          <w:rFonts w:ascii="Arial" w:hAnsi="Arial" w:cs="Arial"/>
        </w:rPr>
        <w:t xml:space="preserve">europeo, podemos afirmar que el derecho de participación política se encuadra dentro de los conceptos de </w:t>
      </w:r>
      <w:r w:rsidR="000C533F" w:rsidRPr="00032D45">
        <w:rPr>
          <w:rFonts w:ascii="Arial" w:hAnsi="Arial" w:cs="Arial"/>
          <w:i/>
        </w:rPr>
        <w:t xml:space="preserve">democracia </w:t>
      </w:r>
      <w:r w:rsidR="000C533F" w:rsidRPr="00032D45">
        <w:rPr>
          <w:rFonts w:ascii="Arial" w:hAnsi="Arial" w:cs="Arial"/>
        </w:rPr>
        <w:t xml:space="preserve">y </w:t>
      </w:r>
      <w:r w:rsidR="000C533F" w:rsidRPr="00032D45">
        <w:rPr>
          <w:rFonts w:ascii="Arial" w:hAnsi="Arial" w:cs="Arial"/>
          <w:i/>
        </w:rPr>
        <w:t>sociedad democrática</w:t>
      </w:r>
      <w:r w:rsidR="000C533F" w:rsidRPr="00032D45">
        <w:rPr>
          <w:rFonts w:ascii="Arial" w:hAnsi="Arial" w:cs="Arial"/>
        </w:rPr>
        <w:t>, que inspiran los propios fundamentos del Consejo de Europa</w:t>
      </w:r>
      <w:r w:rsidR="004E2FCA" w:rsidRPr="00032D45">
        <w:rPr>
          <w:rFonts w:ascii="Arial" w:hAnsi="Arial" w:cs="Arial"/>
        </w:rPr>
        <w:t>.</w:t>
      </w:r>
      <w:r w:rsidR="000C533F" w:rsidRPr="00032D45">
        <w:rPr>
          <w:rFonts w:ascii="Arial" w:hAnsi="Arial" w:cs="Arial"/>
          <w:b/>
        </w:rPr>
        <w:t xml:space="preserve"> </w:t>
      </w:r>
      <w:r w:rsidR="000C533F" w:rsidRPr="00032D45">
        <w:rPr>
          <w:rFonts w:ascii="Arial" w:hAnsi="Arial" w:cs="Arial"/>
        </w:rPr>
        <w:t xml:space="preserve">Aunque la </w:t>
      </w:r>
      <w:r w:rsidR="000C533F" w:rsidRPr="00032D45">
        <w:rPr>
          <w:rFonts w:ascii="Arial" w:hAnsi="Arial" w:cs="Arial"/>
          <w:i/>
        </w:rPr>
        <w:t xml:space="preserve">Convención Europea sobre Derechos Humanos y Libertades Fundamentales </w:t>
      </w:r>
      <w:r w:rsidR="000C533F" w:rsidRPr="00032D45">
        <w:rPr>
          <w:rFonts w:ascii="Arial" w:hAnsi="Arial" w:cs="Arial"/>
        </w:rPr>
        <w:t>(1950) no regula expresamente el derecho de participación</w:t>
      </w:r>
      <w:r w:rsidRPr="00032D45">
        <w:rPr>
          <w:rFonts w:ascii="Arial" w:hAnsi="Arial" w:cs="Arial"/>
        </w:rPr>
        <w:t xml:space="preserve"> política</w:t>
      </w:r>
      <w:r w:rsidR="000C533F" w:rsidRPr="00032D45">
        <w:rPr>
          <w:rFonts w:ascii="Arial" w:hAnsi="Arial" w:cs="Arial"/>
        </w:rPr>
        <w:t xml:space="preserve">, sin embargo, el </w:t>
      </w:r>
      <w:r w:rsidR="000C533F" w:rsidRPr="00032D45">
        <w:rPr>
          <w:rFonts w:ascii="Arial" w:hAnsi="Arial" w:cs="Arial"/>
          <w:i/>
        </w:rPr>
        <w:t>artículo 3 de</w:t>
      </w:r>
      <w:r w:rsidRPr="00032D45">
        <w:rPr>
          <w:rFonts w:ascii="Arial" w:hAnsi="Arial" w:cs="Arial"/>
          <w:i/>
        </w:rPr>
        <w:t xml:space="preserve"> su</w:t>
      </w:r>
      <w:r w:rsidR="000C533F" w:rsidRPr="00032D45">
        <w:rPr>
          <w:rFonts w:ascii="Arial" w:hAnsi="Arial" w:cs="Arial"/>
          <w:i/>
        </w:rPr>
        <w:t xml:space="preserve"> Protocolo Adicional (1952)</w:t>
      </w:r>
      <w:r w:rsidR="000C533F" w:rsidRPr="00032D45">
        <w:rPr>
          <w:rFonts w:ascii="Arial" w:hAnsi="Arial" w:cs="Arial"/>
          <w:b/>
        </w:rPr>
        <w:t xml:space="preserve"> </w:t>
      </w:r>
      <w:r w:rsidR="000C533F" w:rsidRPr="00032D45">
        <w:rPr>
          <w:rFonts w:ascii="Arial" w:hAnsi="Arial" w:cs="Arial"/>
        </w:rPr>
        <w:t xml:space="preserve">sí establece el </w:t>
      </w:r>
      <w:r w:rsidR="000C533F" w:rsidRPr="00032D45">
        <w:rPr>
          <w:rFonts w:ascii="Arial" w:hAnsi="Arial" w:cs="Arial"/>
          <w:i/>
        </w:rPr>
        <w:t>“Derecho a elecciones libres”</w:t>
      </w:r>
      <w:r w:rsidR="00AB36C5">
        <w:rPr>
          <w:rFonts w:ascii="Arial" w:hAnsi="Arial" w:cs="Arial"/>
          <w:i/>
        </w:rPr>
        <w:t xml:space="preserve"> </w:t>
      </w:r>
      <w:r w:rsidR="00AB36C5">
        <w:rPr>
          <w:rFonts w:ascii="Arial" w:hAnsi="Arial" w:cs="Arial"/>
        </w:rPr>
        <w:t>(Jarillo, 2012: 164-165)</w:t>
      </w:r>
      <w:r w:rsidR="004B663D" w:rsidRPr="00032D45">
        <w:rPr>
          <w:rFonts w:ascii="Arial" w:hAnsi="Arial" w:cs="Arial"/>
          <w:i/>
        </w:rPr>
        <w:t xml:space="preserve"> </w:t>
      </w:r>
      <w:r w:rsidR="000C533F" w:rsidRPr="00032D45">
        <w:rPr>
          <w:rFonts w:ascii="Arial" w:hAnsi="Arial" w:cs="Arial"/>
        </w:rPr>
        <w:t xml:space="preserve">con el compromiso de los Estados Partes de </w:t>
      </w:r>
      <w:r w:rsidR="000C533F" w:rsidRPr="00032D45">
        <w:rPr>
          <w:rFonts w:ascii="Arial" w:hAnsi="Arial" w:cs="Arial"/>
          <w:i/>
        </w:rPr>
        <w:t xml:space="preserve">organizar, a intervalos razonables, elecciones libres con escrutinio secreto, en condiciones que garanticen la </w:t>
      </w:r>
      <w:r w:rsidR="000C533F" w:rsidRPr="00032D45">
        <w:rPr>
          <w:rFonts w:ascii="Arial" w:hAnsi="Arial" w:cs="Arial"/>
          <w:i/>
        </w:rPr>
        <w:lastRenderedPageBreak/>
        <w:t>libre expresión de la opinión del pueblo en la elección del c</w:t>
      </w:r>
      <w:r w:rsidR="001719F8" w:rsidRPr="00032D45">
        <w:rPr>
          <w:rFonts w:ascii="Arial" w:hAnsi="Arial" w:cs="Arial"/>
          <w:i/>
        </w:rPr>
        <w:t>uerpo legislativo</w:t>
      </w:r>
      <w:r w:rsidR="000C533F" w:rsidRPr="00032D45">
        <w:rPr>
          <w:rFonts w:ascii="Arial" w:hAnsi="Arial" w:cs="Arial"/>
        </w:rPr>
        <w:t>.</w:t>
      </w:r>
      <w:r w:rsidR="0052568C" w:rsidRPr="00032D45">
        <w:rPr>
          <w:rFonts w:ascii="Arial" w:hAnsi="Arial" w:cs="Arial"/>
        </w:rPr>
        <w:t xml:space="preserve"> </w:t>
      </w:r>
      <w:r w:rsidR="000C533F" w:rsidRPr="00032D45">
        <w:rPr>
          <w:rFonts w:ascii="Arial" w:hAnsi="Arial" w:cs="Arial"/>
        </w:rPr>
        <w:t xml:space="preserve">Nada se dice en este escueto precepto sobre los derechos de participación política de las personas con discapacidad, ni siquiera se recoge la necesaria universalidad del sufragio; sin embargo, como analizaremos en el apartado </w:t>
      </w:r>
      <w:r w:rsidR="008A3E2D" w:rsidRPr="00032D45">
        <w:rPr>
          <w:rFonts w:ascii="Arial" w:hAnsi="Arial" w:cs="Arial"/>
        </w:rPr>
        <w:t>2</w:t>
      </w:r>
      <w:r w:rsidR="000C533F" w:rsidRPr="00032D45">
        <w:rPr>
          <w:rFonts w:ascii="Arial" w:hAnsi="Arial" w:cs="Arial"/>
        </w:rPr>
        <w:t>, su desarrollo interpretativo se llevará a cabo con profusión y exhaustividad por el Tribu</w:t>
      </w:r>
      <w:r w:rsidR="001719F8" w:rsidRPr="00032D45">
        <w:rPr>
          <w:rFonts w:ascii="Arial" w:hAnsi="Arial" w:cs="Arial"/>
        </w:rPr>
        <w:t>nal Europeo de Derechos Humanos</w:t>
      </w:r>
      <w:r w:rsidR="000C533F" w:rsidRPr="00032D45">
        <w:rPr>
          <w:rFonts w:ascii="Arial" w:hAnsi="Arial" w:cs="Arial"/>
        </w:rPr>
        <w:t>.</w:t>
      </w:r>
      <w:r w:rsidR="000C533F" w:rsidRPr="00032D45">
        <w:rPr>
          <w:rFonts w:ascii="Arial" w:hAnsi="Arial" w:cs="Arial"/>
        </w:rPr>
        <w:tab/>
      </w:r>
    </w:p>
    <w:p w:rsidR="00710024" w:rsidRPr="00032D45" w:rsidRDefault="00710024"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Por otro lado, en el ámbito de la </w:t>
      </w:r>
      <w:r w:rsidRPr="00032D45">
        <w:rPr>
          <w:rFonts w:ascii="Arial" w:hAnsi="Arial" w:cs="Arial"/>
          <w:i/>
        </w:rPr>
        <w:t>Unión Europea</w:t>
      </w:r>
      <w:r w:rsidRPr="00032D45">
        <w:rPr>
          <w:rFonts w:ascii="Arial" w:hAnsi="Arial" w:cs="Arial"/>
        </w:rPr>
        <w:t>, el reconocimiento de la ciudadanía comunitaria y las fórmulas de participación política establecidas para el nivel comunitario suponen un gran avance como criterio de legitimación (ascendente)</w:t>
      </w:r>
      <w:r w:rsidR="00542627" w:rsidRPr="00032D45">
        <w:rPr>
          <w:rFonts w:ascii="Arial" w:hAnsi="Arial" w:cs="Arial"/>
        </w:rPr>
        <w:t xml:space="preserve"> </w:t>
      </w:r>
      <w:r w:rsidRPr="00032D45">
        <w:rPr>
          <w:rFonts w:ascii="Arial" w:hAnsi="Arial" w:cs="Arial"/>
        </w:rPr>
        <w:t>del propio sistema comunitario. En línea con ello, las instituciones de la Unión entienden la participación política dentro del concepto amplio de democracia y lo tratan en estrecha conexión con el resto de los derechos humanos</w:t>
      </w:r>
      <w:r w:rsidR="00AB36C5">
        <w:rPr>
          <w:rFonts w:ascii="Arial" w:hAnsi="Arial" w:cs="Arial"/>
        </w:rPr>
        <w:t xml:space="preserve"> (Pérez </w:t>
      </w:r>
      <w:proofErr w:type="spellStart"/>
      <w:r w:rsidR="00AB36C5">
        <w:rPr>
          <w:rFonts w:ascii="Arial" w:hAnsi="Arial" w:cs="Arial"/>
        </w:rPr>
        <w:t>Luño</w:t>
      </w:r>
      <w:proofErr w:type="spellEnd"/>
      <w:r w:rsidR="00AB36C5">
        <w:rPr>
          <w:rFonts w:ascii="Arial" w:hAnsi="Arial" w:cs="Arial"/>
        </w:rPr>
        <w:t>, 2003)</w:t>
      </w:r>
      <w:r w:rsidRPr="00032D45">
        <w:rPr>
          <w:rFonts w:ascii="Arial" w:hAnsi="Arial" w:cs="Arial"/>
        </w:rPr>
        <w:t>.</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En la proyección ascendente del derecho, el </w:t>
      </w:r>
      <w:r w:rsidRPr="00032D45">
        <w:rPr>
          <w:rFonts w:ascii="Arial" w:hAnsi="Arial" w:cs="Arial"/>
          <w:i/>
        </w:rPr>
        <w:t>artículo 6 del Tratado de la Unión Europea</w:t>
      </w:r>
      <w:r w:rsidRPr="00032D45">
        <w:rPr>
          <w:rFonts w:ascii="Arial" w:hAnsi="Arial" w:cs="Arial"/>
        </w:rPr>
        <w:t>, en su versión consolidada, declara que:</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ind w:left="709" w:firstLine="708"/>
        <w:rPr>
          <w:rFonts w:ascii="Arial" w:hAnsi="Arial" w:cs="Arial"/>
        </w:rPr>
      </w:pPr>
      <w:r w:rsidRPr="00032D45">
        <w:rPr>
          <w:rFonts w:ascii="Arial" w:hAnsi="Arial" w:cs="Arial"/>
          <w:i/>
        </w:rPr>
        <w:t>“1. La Unión reconoce los derechos, libertades y principios enunciados en la Carta de los Derechos Fundamentales de la Unión Europea de 7 de diciembre de 2000, tal como fue adaptada el 12 de diciembre de 2007 en Estrasburgo, la cual tendrá el mismo valor jurídico que los Tratados.”</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i/>
        </w:rPr>
      </w:pPr>
      <w:r w:rsidRPr="00032D45">
        <w:rPr>
          <w:rFonts w:ascii="Arial" w:hAnsi="Arial" w:cs="Arial"/>
        </w:rPr>
        <w:t xml:space="preserve">En línea con ello, podemos afirmar que entre los distintos derechos que se incluyen en el concepto de </w:t>
      </w:r>
      <w:r w:rsidRPr="00032D45">
        <w:rPr>
          <w:rFonts w:ascii="Arial" w:hAnsi="Arial" w:cs="Arial"/>
          <w:b/>
        </w:rPr>
        <w:t>“</w:t>
      </w:r>
      <w:r w:rsidRPr="00032D45">
        <w:rPr>
          <w:rFonts w:ascii="Arial" w:hAnsi="Arial" w:cs="Arial"/>
          <w:i/>
        </w:rPr>
        <w:t>ciudadanía de la Unión”</w:t>
      </w:r>
      <w:r w:rsidRPr="00032D45">
        <w:rPr>
          <w:rFonts w:ascii="Arial" w:hAnsi="Arial" w:cs="Arial"/>
          <w:b/>
        </w:rPr>
        <w:t xml:space="preserve"> </w:t>
      </w:r>
      <w:r w:rsidRPr="00032D45">
        <w:rPr>
          <w:rFonts w:ascii="Arial" w:hAnsi="Arial" w:cs="Arial"/>
        </w:rPr>
        <w:t xml:space="preserve">en los Tratados comunitarios, se encuentra el </w:t>
      </w:r>
      <w:r w:rsidRPr="00032D45">
        <w:rPr>
          <w:rFonts w:ascii="Arial" w:hAnsi="Arial" w:cs="Arial"/>
          <w:i/>
        </w:rPr>
        <w:t>derecho de participación política</w:t>
      </w:r>
      <w:r w:rsidRPr="00032D45">
        <w:rPr>
          <w:rFonts w:ascii="Arial" w:hAnsi="Arial" w:cs="Arial"/>
        </w:rPr>
        <w:t xml:space="preserve"> tal como se contemplaba en el </w:t>
      </w:r>
      <w:r w:rsidRPr="00032D45">
        <w:rPr>
          <w:rFonts w:ascii="Arial" w:hAnsi="Arial" w:cs="Arial"/>
          <w:i/>
        </w:rPr>
        <w:t>artículo 19 del Tratado de la Comunidad Europea</w:t>
      </w:r>
      <w:r w:rsidRPr="00032D45">
        <w:rPr>
          <w:rFonts w:ascii="Arial" w:hAnsi="Arial" w:cs="Arial"/>
        </w:rPr>
        <w:t xml:space="preserve"> (después del Tratado de Niza), referido a las elecciones municipales y al Parlamento Europeo</w:t>
      </w:r>
      <w:r w:rsidR="00600C90">
        <w:rPr>
          <w:rFonts w:ascii="Arial" w:hAnsi="Arial" w:cs="Arial"/>
        </w:rPr>
        <w:t xml:space="preserve"> (Jarillo, 2006: 461)</w:t>
      </w:r>
      <w:r w:rsidRPr="00032D45">
        <w:rPr>
          <w:rFonts w:ascii="Arial" w:hAnsi="Arial" w:cs="Arial"/>
        </w:rPr>
        <w:t xml:space="preserve">, que ha quedado plasmado finalmente en los </w:t>
      </w:r>
      <w:r w:rsidRPr="00032D45">
        <w:rPr>
          <w:rFonts w:ascii="Arial" w:hAnsi="Arial" w:cs="Arial"/>
          <w:i/>
        </w:rPr>
        <w:t>artículos 39 y 40 de la Carta de los Derechos Fundamentales de la Unión Europea, de 7 de Diciembre de 2000</w:t>
      </w:r>
      <w:r w:rsidRPr="00032D45">
        <w:rPr>
          <w:rFonts w:ascii="Arial" w:hAnsi="Arial" w:cs="Arial"/>
        </w:rPr>
        <w:t>, como derechos políticos de los ciudadanos de la Unión</w:t>
      </w:r>
      <w:r w:rsidR="00892038" w:rsidRPr="00032D45">
        <w:rPr>
          <w:rFonts w:ascii="Arial" w:hAnsi="Arial" w:cs="Arial"/>
        </w:rPr>
        <w:t>, el derecho a ser elector y elegible en las elecciones al Parlamento Europeo, y en elecciones municipales, por sufragio universal</w:t>
      </w:r>
      <w:r w:rsidR="00892038" w:rsidRPr="00032D45">
        <w:rPr>
          <w:rStyle w:val="Refdenotaalpie"/>
          <w:rFonts w:ascii="Arial" w:hAnsi="Arial" w:cs="Arial"/>
        </w:rPr>
        <w:footnoteReference w:id="11"/>
      </w:r>
      <w:r w:rsidR="0070279E">
        <w:rPr>
          <w:rFonts w:ascii="Arial" w:hAnsi="Arial" w:cs="Arial"/>
        </w:rPr>
        <w:t>.</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Sin salir del continente europeo, la OSCE aprobó varios documentos políticos que representa</w:t>
      </w:r>
      <w:r w:rsidR="009900A6" w:rsidRPr="00032D45">
        <w:rPr>
          <w:rFonts w:ascii="Arial" w:hAnsi="Arial" w:cs="Arial"/>
        </w:rPr>
        <w:t>ro</w:t>
      </w:r>
      <w:r w:rsidRPr="00032D45">
        <w:rPr>
          <w:rFonts w:ascii="Arial" w:hAnsi="Arial" w:cs="Arial"/>
        </w:rPr>
        <w:t xml:space="preserve">n la culminación de un largo proceso negociador que comenzó con la aprobación del </w:t>
      </w:r>
      <w:r w:rsidRPr="00032D45">
        <w:rPr>
          <w:rFonts w:ascii="Arial" w:hAnsi="Arial" w:cs="Arial"/>
          <w:i/>
        </w:rPr>
        <w:t>Acta Final de Helsinki</w:t>
      </w:r>
      <w:r w:rsidRPr="00032D45">
        <w:rPr>
          <w:rFonts w:ascii="Arial" w:hAnsi="Arial" w:cs="Arial"/>
        </w:rPr>
        <w:t xml:space="preserve">, de 1975, y que recogen de manera detallada los derechos de participación política. De gran relevancia resulta el </w:t>
      </w:r>
      <w:r w:rsidRPr="00032D45">
        <w:rPr>
          <w:rFonts w:ascii="Arial" w:hAnsi="Arial" w:cs="Arial"/>
          <w:i/>
        </w:rPr>
        <w:t>Documento de Copenhague de la Dimensión Humana de la OSCE</w:t>
      </w:r>
      <w:r w:rsidRPr="00032D45">
        <w:rPr>
          <w:rFonts w:ascii="Arial" w:hAnsi="Arial" w:cs="Arial"/>
        </w:rPr>
        <w:t xml:space="preserve">, de 1990, que establece las condiciones necesarias en un sistema político y electoral para que </w:t>
      </w:r>
      <w:r w:rsidRPr="00032D45">
        <w:rPr>
          <w:rFonts w:ascii="Arial" w:hAnsi="Arial" w:cs="Arial"/>
          <w:i/>
        </w:rPr>
        <w:t>“la voluntad del pueblo sirva de base para la autoridad del Gobierno”</w:t>
      </w:r>
      <w:r w:rsidRPr="00032D45">
        <w:rPr>
          <w:rFonts w:ascii="Arial" w:hAnsi="Arial" w:cs="Arial"/>
        </w:rPr>
        <w:t xml:space="preserve">. En concreto, el apartado 7.3 de este Documento dispone que </w:t>
      </w:r>
      <w:r w:rsidRPr="00032D45">
        <w:rPr>
          <w:rFonts w:ascii="Arial" w:hAnsi="Arial" w:cs="Arial"/>
          <w:i/>
        </w:rPr>
        <w:t>“los Estados participantes garantizarán el</w:t>
      </w:r>
      <w:r w:rsidRPr="00032D45">
        <w:rPr>
          <w:rFonts w:ascii="Arial" w:hAnsi="Arial" w:cs="Arial"/>
          <w:b/>
          <w:i/>
        </w:rPr>
        <w:t xml:space="preserve"> </w:t>
      </w:r>
      <w:r w:rsidRPr="00032D45">
        <w:rPr>
          <w:rFonts w:ascii="Arial" w:hAnsi="Arial" w:cs="Arial"/>
          <w:i/>
        </w:rPr>
        <w:t xml:space="preserve">sufragio universal e igual a todos los ciudadanos adultos”. </w:t>
      </w:r>
    </w:p>
    <w:p w:rsidR="000C533F" w:rsidRPr="00032D45" w:rsidRDefault="000C533F" w:rsidP="00CC01B7">
      <w:pPr>
        <w:widowControl w:val="0"/>
        <w:autoSpaceDE w:val="0"/>
        <w:autoSpaceDN w:val="0"/>
        <w:adjustRightInd w:val="0"/>
        <w:spacing w:after="0"/>
        <w:rPr>
          <w:rFonts w:ascii="Arial" w:hAnsi="Arial" w:cs="Arial"/>
          <w:i/>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En otros ámbitos regionales, como el americano, el derecho a la participación política ha quedado recogido en los tratados regionales más relevantes, como es el caso del </w:t>
      </w:r>
      <w:r w:rsidRPr="00032D45">
        <w:rPr>
          <w:rFonts w:ascii="Arial" w:hAnsi="Arial" w:cs="Arial"/>
          <w:i/>
        </w:rPr>
        <w:t>artículo 23 de la Convención Americana sobre Derechos Humanos</w:t>
      </w:r>
      <w:r w:rsidRPr="00032D45">
        <w:rPr>
          <w:rFonts w:ascii="Arial" w:hAnsi="Arial" w:cs="Arial"/>
        </w:rPr>
        <w:t>,</w:t>
      </w:r>
      <w:r w:rsidR="00556CBA" w:rsidRPr="00032D45">
        <w:rPr>
          <w:rStyle w:val="Refdenotaalpie"/>
          <w:rFonts w:ascii="Arial" w:hAnsi="Arial" w:cs="Arial"/>
        </w:rPr>
        <w:footnoteReference w:id="12"/>
      </w:r>
      <w:r w:rsidRPr="00032D45">
        <w:rPr>
          <w:rFonts w:ascii="Arial" w:hAnsi="Arial" w:cs="Arial"/>
        </w:rPr>
        <w:t xml:space="preserve"> que reproduce en gran parte el artículo 25 </w:t>
      </w:r>
      <w:r w:rsidR="009900A6" w:rsidRPr="00032D45">
        <w:rPr>
          <w:rFonts w:ascii="Arial" w:hAnsi="Arial" w:cs="Arial"/>
        </w:rPr>
        <w:t>d</w:t>
      </w:r>
      <w:r w:rsidRPr="00032D45">
        <w:rPr>
          <w:rFonts w:ascii="Arial" w:hAnsi="Arial" w:cs="Arial"/>
        </w:rPr>
        <w:t>el PIDCP.</w:t>
      </w:r>
      <w:r w:rsidR="00C8460A" w:rsidRPr="00032D45">
        <w:rPr>
          <w:rFonts w:ascii="Arial" w:hAnsi="Arial" w:cs="Arial"/>
        </w:rPr>
        <w:t xml:space="preserve"> </w:t>
      </w:r>
      <w:r w:rsidRPr="00032D45">
        <w:rPr>
          <w:rFonts w:ascii="Arial" w:hAnsi="Arial" w:cs="Arial"/>
        </w:rPr>
        <w:t xml:space="preserve">A pesar de proclamar el sufragio universal y afirmar que “todos los ciudadanos” deben gozar de los derechos políticos que se relacionan, lo cierto es que el </w:t>
      </w:r>
      <w:r w:rsidRPr="00032D45">
        <w:rPr>
          <w:rFonts w:ascii="Arial" w:hAnsi="Arial" w:cs="Arial"/>
          <w:i/>
        </w:rPr>
        <w:t>apartado 2 del artículo 23</w:t>
      </w:r>
      <w:r w:rsidRPr="00032D45">
        <w:rPr>
          <w:rFonts w:ascii="Arial" w:hAnsi="Arial" w:cs="Arial"/>
        </w:rPr>
        <w:t xml:space="preserve"> de esta Convención establece la posibilidad de restringir estos derechos </w:t>
      </w:r>
      <w:r w:rsidRPr="00032D45">
        <w:rPr>
          <w:rFonts w:ascii="Arial" w:hAnsi="Arial" w:cs="Arial"/>
          <w:i/>
        </w:rPr>
        <w:t>“por razones de capacidad civil o mental”</w:t>
      </w:r>
      <w:r w:rsidRPr="00032D45">
        <w:rPr>
          <w:rFonts w:ascii="Arial" w:hAnsi="Arial" w:cs="Arial"/>
        </w:rPr>
        <w:t xml:space="preserve">, de manera que permite a los Estados americanos establecer medidas en su legislación nacional para constreñir o limitar el ejercicio del derecho de voto de las personas con discapacidad. </w:t>
      </w:r>
      <w:r w:rsidR="00B8522D" w:rsidRPr="00032D45">
        <w:rPr>
          <w:rFonts w:ascii="Arial" w:hAnsi="Arial" w:cs="Arial"/>
        </w:rPr>
        <w:t>A mi juicio, e</w:t>
      </w:r>
      <w:r w:rsidRPr="00032D45">
        <w:rPr>
          <w:rFonts w:ascii="Arial" w:hAnsi="Arial" w:cs="Arial"/>
        </w:rPr>
        <w:t xml:space="preserve">sta restricción </w:t>
      </w:r>
      <w:r w:rsidR="00B8522D" w:rsidRPr="00032D45">
        <w:rPr>
          <w:rFonts w:ascii="Arial" w:hAnsi="Arial" w:cs="Arial"/>
        </w:rPr>
        <w:t xml:space="preserve">contradice </w:t>
      </w:r>
      <w:r w:rsidRPr="00032D45">
        <w:rPr>
          <w:rFonts w:ascii="Arial" w:hAnsi="Arial" w:cs="Arial"/>
        </w:rPr>
        <w:t>el precepto universal que proclama el derecho de voto de las personas con discapacidad</w:t>
      </w:r>
      <w:r w:rsidR="00B8522D" w:rsidRPr="00032D45">
        <w:rPr>
          <w:rFonts w:ascii="Arial" w:hAnsi="Arial" w:cs="Arial"/>
        </w:rPr>
        <w:t xml:space="preserve"> (art. 29 CDPD)</w:t>
      </w:r>
      <w:r w:rsidRPr="00032D45">
        <w:rPr>
          <w:rFonts w:ascii="Arial" w:hAnsi="Arial" w:cs="Arial"/>
        </w:rPr>
        <w:t xml:space="preserve">, </w:t>
      </w:r>
      <w:r w:rsidR="00B8522D" w:rsidRPr="00032D45">
        <w:rPr>
          <w:rFonts w:ascii="Arial" w:hAnsi="Arial" w:cs="Arial"/>
        </w:rPr>
        <w:t xml:space="preserve">en aquellos Estados americanos que </w:t>
      </w:r>
      <w:r w:rsidRPr="00032D45">
        <w:rPr>
          <w:rFonts w:ascii="Arial" w:hAnsi="Arial" w:cs="Arial"/>
        </w:rPr>
        <w:t>h</w:t>
      </w:r>
      <w:r w:rsidR="00B8522D" w:rsidRPr="00032D45">
        <w:rPr>
          <w:rFonts w:ascii="Arial" w:hAnsi="Arial" w:cs="Arial"/>
        </w:rPr>
        <w:t>ayan</w:t>
      </w:r>
      <w:r w:rsidRPr="00032D45">
        <w:rPr>
          <w:rFonts w:ascii="Arial" w:hAnsi="Arial" w:cs="Arial"/>
        </w:rPr>
        <w:t xml:space="preserve"> ratificado la </w:t>
      </w:r>
      <w:r w:rsidR="00B8522D" w:rsidRPr="00032D45">
        <w:rPr>
          <w:rFonts w:ascii="Arial" w:hAnsi="Arial" w:cs="Arial"/>
        </w:rPr>
        <w:t>CDPD</w:t>
      </w:r>
      <w:r w:rsidRPr="00032D45">
        <w:rPr>
          <w:rFonts w:ascii="Arial" w:hAnsi="Arial" w:cs="Arial"/>
        </w:rPr>
        <w:t>.</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D92DBA" w:rsidP="00CC01B7">
      <w:pPr>
        <w:widowControl w:val="0"/>
        <w:autoSpaceDE w:val="0"/>
        <w:autoSpaceDN w:val="0"/>
        <w:adjustRightInd w:val="0"/>
        <w:spacing w:after="0"/>
        <w:rPr>
          <w:rFonts w:ascii="Arial" w:hAnsi="Arial" w:cs="Arial"/>
        </w:rPr>
      </w:pPr>
      <w:r w:rsidRPr="00032D45">
        <w:rPr>
          <w:rFonts w:ascii="Arial" w:hAnsi="Arial" w:cs="Arial"/>
        </w:rPr>
        <w:t>E</w:t>
      </w:r>
      <w:r w:rsidR="000C533F" w:rsidRPr="00032D45">
        <w:rPr>
          <w:rFonts w:ascii="Arial" w:hAnsi="Arial" w:cs="Arial"/>
        </w:rPr>
        <w:t>xisten además otros ámbitos regionales que han desarrollado una importante labor de promoción y protección de este derecho a la participación política</w:t>
      </w:r>
      <w:r w:rsidR="00600C90">
        <w:rPr>
          <w:rFonts w:ascii="Arial" w:hAnsi="Arial" w:cs="Arial"/>
        </w:rPr>
        <w:t xml:space="preserve"> (Hartmann, 2003)</w:t>
      </w:r>
      <w:r w:rsidR="000C533F" w:rsidRPr="00032D45">
        <w:rPr>
          <w:rFonts w:ascii="Arial" w:hAnsi="Arial" w:cs="Arial"/>
        </w:rPr>
        <w:t>,</w:t>
      </w:r>
      <w:r w:rsidR="00600C90" w:rsidRPr="00032D45">
        <w:rPr>
          <w:rFonts w:ascii="Arial" w:hAnsi="Arial" w:cs="Arial"/>
        </w:rPr>
        <w:t xml:space="preserve"> </w:t>
      </w:r>
      <w:r w:rsidR="00EB1B4D" w:rsidRPr="00032D45">
        <w:rPr>
          <w:rFonts w:ascii="Arial" w:hAnsi="Arial" w:cs="Arial"/>
        </w:rPr>
        <w:t xml:space="preserve">más centrados específicamente en </w:t>
      </w:r>
      <w:r w:rsidR="0053482D" w:rsidRPr="00032D45">
        <w:rPr>
          <w:rFonts w:ascii="Arial" w:hAnsi="Arial" w:cs="Arial"/>
        </w:rPr>
        <w:t>garantiza</w:t>
      </w:r>
      <w:r w:rsidR="00EB1B4D" w:rsidRPr="00032D45">
        <w:rPr>
          <w:rFonts w:ascii="Arial" w:hAnsi="Arial" w:cs="Arial"/>
        </w:rPr>
        <w:t>r</w:t>
      </w:r>
      <w:r w:rsidR="0053482D" w:rsidRPr="00032D45">
        <w:rPr>
          <w:rFonts w:ascii="Arial" w:hAnsi="Arial" w:cs="Arial"/>
        </w:rPr>
        <w:t xml:space="preserve"> e</w:t>
      </w:r>
      <w:r w:rsidR="00EB1B4D" w:rsidRPr="00032D45">
        <w:rPr>
          <w:rFonts w:ascii="Arial" w:hAnsi="Arial" w:cs="Arial"/>
        </w:rPr>
        <w:t>l</w:t>
      </w:r>
      <w:r w:rsidR="0053482D" w:rsidRPr="00032D45">
        <w:rPr>
          <w:rFonts w:ascii="Arial" w:hAnsi="Arial" w:cs="Arial"/>
        </w:rPr>
        <w:t xml:space="preserve"> sufragio universal</w:t>
      </w:r>
      <w:r w:rsidR="00EB1B4D" w:rsidRPr="00032D45">
        <w:rPr>
          <w:rFonts w:ascii="Arial" w:hAnsi="Arial" w:cs="Arial"/>
        </w:rPr>
        <w:t>, aunque no mencionen directamente el derecho de las personas con discapacidad</w:t>
      </w:r>
      <w:r w:rsidR="000C533F" w:rsidRPr="00032D45">
        <w:rPr>
          <w:rFonts w:ascii="Arial" w:hAnsi="Arial" w:cs="Arial"/>
        </w:rPr>
        <w:t>.</w:t>
      </w:r>
    </w:p>
    <w:p w:rsidR="000C533F" w:rsidRPr="00032D45" w:rsidRDefault="000C533F" w:rsidP="00CC01B7">
      <w:pPr>
        <w:widowControl w:val="0"/>
        <w:autoSpaceDE w:val="0"/>
        <w:autoSpaceDN w:val="0"/>
        <w:adjustRightInd w:val="0"/>
        <w:spacing w:after="0"/>
        <w:ind w:firstLine="708"/>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En África, el </w:t>
      </w:r>
      <w:r w:rsidRPr="00032D45">
        <w:rPr>
          <w:rFonts w:ascii="Arial" w:hAnsi="Arial" w:cs="Arial"/>
          <w:i/>
        </w:rPr>
        <w:t>artículo 13 de la Carta Africana sobre los derechos de los pueblos y de los ciudadanos</w:t>
      </w:r>
      <w:r w:rsidRPr="00032D45">
        <w:rPr>
          <w:rFonts w:ascii="Arial" w:hAnsi="Arial" w:cs="Arial"/>
        </w:rPr>
        <w:t xml:space="preserve"> (1981) (Carta de Banjul)</w:t>
      </w:r>
      <w:r w:rsidRPr="00032D45">
        <w:rPr>
          <w:rStyle w:val="Refdenotaalpie"/>
          <w:rFonts w:ascii="Arial" w:hAnsi="Arial" w:cs="Arial"/>
        </w:rPr>
        <w:footnoteReference w:id="13"/>
      </w:r>
      <w:r w:rsidRPr="00032D45">
        <w:rPr>
          <w:rFonts w:ascii="Arial" w:hAnsi="Arial" w:cs="Arial"/>
        </w:rPr>
        <w:t xml:space="preserve"> garantiza los derechos de participación de “todos los ciudadanos”, aunque lo remite a las disposiciones d</w:t>
      </w:r>
      <w:r w:rsidR="009A123D" w:rsidRPr="00032D45">
        <w:rPr>
          <w:rFonts w:ascii="Arial" w:hAnsi="Arial" w:cs="Arial"/>
        </w:rPr>
        <w:t>e la</w:t>
      </w:r>
      <w:r w:rsidR="00EB1B4D" w:rsidRPr="00032D45">
        <w:rPr>
          <w:rFonts w:ascii="Arial" w:hAnsi="Arial" w:cs="Arial"/>
        </w:rPr>
        <w:t>s</w:t>
      </w:r>
      <w:r w:rsidR="009A123D" w:rsidRPr="00032D45">
        <w:rPr>
          <w:rFonts w:ascii="Arial" w:hAnsi="Arial" w:cs="Arial"/>
        </w:rPr>
        <w:t xml:space="preserve"> </w:t>
      </w:r>
      <w:r w:rsidR="00EB1B4D" w:rsidRPr="00032D45">
        <w:rPr>
          <w:rFonts w:ascii="Arial" w:hAnsi="Arial" w:cs="Arial"/>
        </w:rPr>
        <w:t>leyes</w:t>
      </w:r>
      <w:r w:rsidR="009A123D" w:rsidRPr="00032D45">
        <w:rPr>
          <w:rFonts w:ascii="Arial" w:hAnsi="Arial" w:cs="Arial"/>
        </w:rPr>
        <w:t xml:space="preserve"> nacional</w:t>
      </w:r>
      <w:r w:rsidR="00EB1B4D" w:rsidRPr="00032D45">
        <w:rPr>
          <w:rFonts w:ascii="Arial" w:hAnsi="Arial" w:cs="Arial"/>
        </w:rPr>
        <w:t>es</w:t>
      </w:r>
      <w:r w:rsidR="009A123D" w:rsidRPr="00032D45">
        <w:rPr>
          <w:rFonts w:ascii="Arial" w:hAnsi="Arial" w:cs="Arial"/>
        </w:rPr>
        <w:t>.</w:t>
      </w:r>
      <w:r w:rsidR="007D736D" w:rsidRPr="00032D45">
        <w:rPr>
          <w:rFonts w:ascii="Arial" w:hAnsi="Arial" w:cs="Arial"/>
        </w:rPr>
        <w:t xml:space="preserve"> </w:t>
      </w:r>
      <w:r w:rsidR="00EB1B4D" w:rsidRPr="00032D45">
        <w:rPr>
          <w:rFonts w:ascii="Arial" w:hAnsi="Arial" w:cs="Arial"/>
        </w:rPr>
        <w:t xml:space="preserve">Aun cuando se </w:t>
      </w:r>
      <w:r w:rsidRPr="00032D45">
        <w:rPr>
          <w:rFonts w:ascii="Arial" w:hAnsi="Arial" w:cs="Arial"/>
        </w:rPr>
        <w:t>omite cualquier referencia a los derechos de participación política de las personas con discapacidad, el artículo 2 de la Carta afirma que “</w:t>
      </w:r>
      <w:r w:rsidRPr="00032D45">
        <w:rPr>
          <w:rFonts w:ascii="Arial" w:hAnsi="Arial" w:cs="Arial"/>
          <w:i/>
        </w:rPr>
        <w:t xml:space="preserve">Todo individuo tendrá derecho al disfrute de los derechos y libertades reconocidos y garantizados en la presente Carta sin distinción de ningún tipo como raza, grupo étnico, color, sexo, lengua, religión, opinión política o de otra índole, origen social y nacional, fortuna, nacimiento u otro status.”, </w:t>
      </w:r>
      <w:r w:rsidRPr="00032D45">
        <w:rPr>
          <w:rFonts w:ascii="Arial" w:hAnsi="Arial" w:cs="Arial"/>
        </w:rPr>
        <w:t xml:space="preserve">por lo que el texto se inserta dentro de las normas internacionales que no aceptan ningún tipo de discriminación en el disfrute de estos derechos </w:t>
      </w:r>
      <w:r w:rsidR="00EB1B4D" w:rsidRPr="00032D45">
        <w:rPr>
          <w:rFonts w:ascii="Arial" w:hAnsi="Arial" w:cs="Arial"/>
        </w:rPr>
        <w:t xml:space="preserve">y </w:t>
      </w:r>
      <w:r w:rsidRPr="00032D45">
        <w:rPr>
          <w:rFonts w:ascii="Arial" w:hAnsi="Arial" w:cs="Arial"/>
        </w:rPr>
        <w:t xml:space="preserve">libertades </w:t>
      </w:r>
      <w:r w:rsidRPr="00032D45">
        <w:rPr>
          <w:rFonts w:ascii="Arial" w:hAnsi="Arial" w:cs="Arial"/>
          <w:i/>
        </w:rPr>
        <w:t>“por cualquier estatus”</w:t>
      </w:r>
      <w:r w:rsidRPr="00032D45">
        <w:rPr>
          <w:rFonts w:ascii="Arial" w:hAnsi="Arial" w:cs="Arial"/>
        </w:rPr>
        <w:t>.</w:t>
      </w:r>
      <w:r w:rsidR="00C33177" w:rsidRPr="00032D45">
        <w:rPr>
          <w:rFonts w:ascii="Arial" w:hAnsi="Arial" w:cs="Arial"/>
        </w:rPr>
        <w:t xml:space="preserve"> </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i/>
        </w:rPr>
      </w:pPr>
      <w:r w:rsidRPr="00032D45">
        <w:rPr>
          <w:rFonts w:ascii="Arial" w:hAnsi="Arial" w:cs="Arial"/>
        </w:rPr>
        <w:t xml:space="preserve">En Asia, la </w:t>
      </w:r>
      <w:r w:rsidRPr="00032D45">
        <w:rPr>
          <w:rFonts w:ascii="Arial" w:hAnsi="Arial" w:cs="Arial"/>
          <w:i/>
        </w:rPr>
        <w:t>Declaración de Derechos Humanos de Kuala Lumpur (1993)</w:t>
      </w:r>
      <w:r w:rsidRPr="00032D45">
        <w:rPr>
          <w:rFonts w:ascii="Arial" w:hAnsi="Arial" w:cs="Arial"/>
        </w:rPr>
        <w:t>, aprobada en el marco de la Organización Interparlamentaria de la ASEAN contempla algunos aspectos referidos a la participación política</w:t>
      </w:r>
      <w:r w:rsidR="007D736D" w:rsidRPr="00032D45">
        <w:rPr>
          <w:rStyle w:val="Refdenotaalpie"/>
          <w:rFonts w:ascii="Arial" w:hAnsi="Arial" w:cs="Arial"/>
        </w:rPr>
        <w:footnoteReference w:id="14"/>
      </w:r>
      <w:r w:rsidR="00D92DBA" w:rsidRPr="00032D45">
        <w:rPr>
          <w:rFonts w:ascii="Arial" w:hAnsi="Arial" w:cs="Arial"/>
        </w:rPr>
        <w:t>, en con</w:t>
      </w:r>
      <w:r w:rsidR="007D736D" w:rsidRPr="00032D45">
        <w:rPr>
          <w:rFonts w:ascii="Arial" w:hAnsi="Arial" w:cs="Arial"/>
        </w:rPr>
        <w:t>sonancia c</w:t>
      </w:r>
      <w:r w:rsidR="00D92DBA" w:rsidRPr="00032D45">
        <w:rPr>
          <w:rFonts w:ascii="Arial" w:hAnsi="Arial" w:cs="Arial"/>
        </w:rPr>
        <w:t xml:space="preserve">on el artículo 25 </w:t>
      </w:r>
      <w:r w:rsidR="00165226" w:rsidRPr="00032D45">
        <w:rPr>
          <w:rFonts w:ascii="Arial" w:hAnsi="Arial" w:cs="Arial"/>
        </w:rPr>
        <w:t xml:space="preserve">del </w:t>
      </w:r>
      <w:r w:rsidR="00D92DBA" w:rsidRPr="00032D45">
        <w:rPr>
          <w:rFonts w:ascii="Arial" w:hAnsi="Arial" w:cs="Arial"/>
        </w:rPr>
        <w:t>PIDCP</w:t>
      </w:r>
      <w:r w:rsidR="00600C90">
        <w:rPr>
          <w:rFonts w:ascii="Arial" w:hAnsi="Arial" w:cs="Arial"/>
        </w:rPr>
        <w:t xml:space="preserve"> (</w:t>
      </w:r>
      <w:proofErr w:type="spellStart"/>
      <w:r w:rsidR="00600C90">
        <w:rPr>
          <w:rFonts w:ascii="Arial" w:hAnsi="Arial" w:cs="Arial"/>
        </w:rPr>
        <w:t>Brems</w:t>
      </w:r>
      <w:proofErr w:type="spellEnd"/>
      <w:r w:rsidR="00600C90">
        <w:rPr>
          <w:rFonts w:ascii="Arial" w:hAnsi="Arial" w:cs="Arial"/>
        </w:rPr>
        <w:t>, 2001)</w:t>
      </w:r>
      <w:r w:rsidRPr="00032D45">
        <w:rPr>
          <w:rFonts w:ascii="Arial" w:hAnsi="Arial" w:cs="Arial"/>
        </w:rPr>
        <w:t>.</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rPr>
        <w:t xml:space="preserve">Por último, en el mundo islámico, la </w:t>
      </w:r>
      <w:r w:rsidRPr="00032D45">
        <w:rPr>
          <w:rFonts w:ascii="Arial" w:hAnsi="Arial" w:cs="Arial"/>
          <w:i/>
        </w:rPr>
        <w:t xml:space="preserve">Declaración Islámica Universal de Derechos </w:t>
      </w:r>
      <w:r w:rsidRPr="00032D45">
        <w:rPr>
          <w:rFonts w:ascii="Arial" w:hAnsi="Arial" w:cs="Arial"/>
          <w:i/>
        </w:rPr>
        <w:lastRenderedPageBreak/>
        <w:t xml:space="preserve">Humanos </w:t>
      </w:r>
      <w:r w:rsidRPr="00032D45">
        <w:rPr>
          <w:rFonts w:ascii="Arial" w:hAnsi="Arial" w:cs="Arial"/>
        </w:rPr>
        <w:t xml:space="preserve">o </w:t>
      </w:r>
      <w:r w:rsidRPr="00032D45">
        <w:rPr>
          <w:rFonts w:ascii="Arial" w:hAnsi="Arial" w:cs="Arial"/>
          <w:i/>
        </w:rPr>
        <w:t>Declaración del Cairo sobre los derechos humanos en el Islam</w:t>
      </w:r>
      <w:r w:rsidRPr="00032D45">
        <w:rPr>
          <w:rFonts w:ascii="Arial" w:hAnsi="Arial" w:cs="Arial"/>
        </w:rPr>
        <w:t xml:space="preserve"> </w:t>
      </w:r>
      <w:r w:rsidR="00F37454">
        <w:rPr>
          <w:rFonts w:ascii="Arial" w:hAnsi="Arial" w:cs="Arial"/>
        </w:rPr>
        <w:t xml:space="preserve">de la Organización de la Conferencia Islámica (1990) </w:t>
      </w:r>
      <w:r w:rsidRPr="00032D45">
        <w:rPr>
          <w:rFonts w:ascii="Arial" w:hAnsi="Arial" w:cs="Arial"/>
        </w:rPr>
        <w:t xml:space="preserve">contempla el derecho de toda persona a participar en los asuntos públicos dentro del marco general de la </w:t>
      </w:r>
      <w:proofErr w:type="spellStart"/>
      <w:r w:rsidRPr="00032D45">
        <w:rPr>
          <w:rFonts w:ascii="Arial" w:hAnsi="Arial" w:cs="Arial"/>
          <w:i/>
        </w:rPr>
        <w:t>Sharia</w:t>
      </w:r>
      <w:proofErr w:type="spellEnd"/>
      <w:r w:rsidR="00DF38FE">
        <w:rPr>
          <w:rFonts w:ascii="Arial" w:hAnsi="Arial" w:cs="Arial"/>
          <w:i/>
        </w:rPr>
        <w:t xml:space="preserve"> </w:t>
      </w:r>
      <w:r w:rsidR="00DF38FE">
        <w:rPr>
          <w:rFonts w:ascii="Arial" w:hAnsi="Arial" w:cs="Arial"/>
        </w:rPr>
        <w:t>(Jarillo, 2006: 507)</w:t>
      </w:r>
      <w:r w:rsidR="00EB1B4D" w:rsidRPr="00032D45">
        <w:rPr>
          <w:rFonts w:ascii="Arial" w:hAnsi="Arial" w:cs="Arial"/>
          <w:i/>
        </w:rPr>
        <w:t>.</w:t>
      </w:r>
      <w:r w:rsidR="00DF38FE" w:rsidRPr="00032D45">
        <w:rPr>
          <w:rFonts w:ascii="Arial" w:hAnsi="Arial" w:cs="Arial"/>
        </w:rPr>
        <w:t xml:space="preserve"> </w:t>
      </w:r>
      <w:r w:rsidRPr="00032D45">
        <w:rPr>
          <w:rFonts w:ascii="Arial" w:hAnsi="Arial" w:cs="Arial"/>
        </w:rPr>
        <w:t>En términos generales, el artículo 1 recoge la no discriminación en el disfrute de los derechos fundamentales</w:t>
      </w:r>
      <w:r w:rsidR="00E16AE8" w:rsidRPr="00032D45">
        <w:rPr>
          <w:rStyle w:val="Refdenotaalpie"/>
          <w:rFonts w:ascii="Arial" w:hAnsi="Arial" w:cs="Arial"/>
        </w:rPr>
        <w:footnoteReference w:id="15"/>
      </w:r>
      <w:r w:rsidR="00D847E4" w:rsidRPr="00032D45">
        <w:rPr>
          <w:rFonts w:ascii="Arial" w:hAnsi="Arial" w:cs="Arial"/>
        </w:rPr>
        <w:t>.</w:t>
      </w:r>
    </w:p>
    <w:p w:rsidR="000C533F" w:rsidRPr="00032D45" w:rsidRDefault="000C533F" w:rsidP="00CC01B7">
      <w:pPr>
        <w:widowControl w:val="0"/>
        <w:autoSpaceDE w:val="0"/>
        <w:autoSpaceDN w:val="0"/>
        <w:adjustRightInd w:val="0"/>
        <w:spacing w:after="0"/>
        <w:rPr>
          <w:rFonts w:ascii="Arial" w:hAnsi="Arial" w:cs="Arial"/>
        </w:rPr>
      </w:pPr>
    </w:p>
    <w:p w:rsidR="000C533F" w:rsidRPr="00032D45" w:rsidRDefault="00EF46B4" w:rsidP="00CC01B7">
      <w:pPr>
        <w:widowControl w:val="0"/>
        <w:autoSpaceDE w:val="0"/>
        <w:autoSpaceDN w:val="0"/>
        <w:adjustRightInd w:val="0"/>
        <w:spacing w:after="0"/>
        <w:rPr>
          <w:rFonts w:ascii="Arial" w:hAnsi="Arial" w:cs="Arial"/>
        </w:rPr>
      </w:pPr>
      <w:r w:rsidRPr="00032D45">
        <w:rPr>
          <w:rFonts w:ascii="Arial" w:hAnsi="Arial" w:cs="Arial"/>
        </w:rPr>
        <w:t xml:space="preserve">En definitiva, </w:t>
      </w:r>
      <w:r w:rsidR="00D847E4" w:rsidRPr="00032D45">
        <w:rPr>
          <w:rFonts w:ascii="Arial" w:hAnsi="Arial" w:cs="Arial"/>
        </w:rPr>
        <w:t>en el plano</w:t>
      </w:r>
      <w:r w:rsidRPr="00032D45">
        <w:rPr>
          <w:rFonts w:ascii="Arial" w:hAnsi="Arial" w:cs="Arial"/>
        </w:rPr>
        <w:t xml:space="preserve"> </w:t>
      </w:r>
      <w:proofErr w:type="spellStart"/>
      <w:r w:rsidRPr="00032D45">
        <w:rPr>
          <w:rFonts w:ascii="Arial" w:hAnsi="Arial" w:cs="Arial"/>
        </w:rPr>
        <w:t>infraestatal</w:t>
      </w:r>
      <w:proofErr w:type="spellEnd"/>
      <w:r w:rsidRPr="00032D45">
        <w:rPr>
          <w:rFonts w:ascii="Arial" w:hAnsi="Arial" w:cs="Arial"/>
        </w:rPr>
        <w:t>, los convenios internacionales regionales refuerzan la obligatoriedad del derecho de participación política y, por ende, el derecho de voto de los ciudadanos y la universalidad del sufragio, sin restricciones indebidas, reafirmando y preconizando el principio de igualdad y no discriminación; en cuanto al derecho de voto de las personas con discapacidad no será sino hasta la aprobación de la Convención sobre los Derechos de las Personas con Discapacidad, cuando la conjunción del artículo 29 y 12 de la CDPD empezará a poner en cuestionamiento, en algunos ámbitos regionales, especialmente el europeo, la viabilidad y procedencia de las restricciones al derecho de voto de las personas con discapacidad. Por lo tanto, debemos retornar a la vigencia de la CDPD y su unánime ratificación por la mayoría de países de la comunidad internacional, sin reservas, para recalcar que esta Convención convierte a la participación política de las personas con discapacidad en un derecho exigible por los ciudadanos y obligatorio en la mayoría de Estados.</w:t>
      </w:r>
    </w:p>
    <w:p w:rsidR="003C4224" w:rsidRPr="00032D45" w:rsidRDefault="003C4224" w:rsidP="00CC01B7">
      <w:pPr>
        <w:widowControl w:val="0"/>
        <w:autoSpaceDE w:val="0"/>
        <w:autoSpaceDN w:val="0"/>
        <w:adjustRightInd w:val="0"/>
        <w:spacing w:after="0"/>
        <w:rPr>
          <w:rFonts w:ascii="Arial" w:hAnsi="Arial" w:cs="Arial"/>
        </w:rPr>
      </w:pPr>
    </w:p>
    <w:p w:rsidR="009F2C69" w:rsidRPr="00032D45" w:rsidRDefault="00EF46B4" w:rsidP="00CC01B7">
      <w:pPr>
        <w:widowControl w:val="0"/>
        <w:autoSpaceDE w:val="0"/>
        <w:autoSpaceDN w:val="0"/>
        <w:adjustRightInd w:val="0"/>
        <w:spacing w:after="0"/>
        <w:rPr>
          <w:rFonts w:ascii="Arial" w:hAnsi="Arial" w:cs="Arial"/>
        </w:rPr>
      </w:pPr>
      <w:bookmarkStart w:id="0" w:name="A3P1"/>
      <w:bookmarkEnd w:id="0"/>
      <w:r w:rsidRPr="00032D45">
        <w:rPr>
          <w:rFonts w:ascii="Arial" w:hAnsi="Arial" w:cs="Arial"/>
        </w:rPr>
        <w:t xml:space="preserve">Para completar el análisis de ese derecho de participación política en el ámbito del Derecho internacional público, es preciso analizar a continuación la doctrina jurisprudencial que viene elaborándose por parte de dos tribunales internacionales </w:t>
      </w:r>
      <w:r w:rsidR="00E52244">
        <w:rPr>
          <w:rFonts w:ascii="Arial" w:hAnsi="Arial" w:cs="Arial"/>
        </w:rPr>
        <w:t>de vital</w:t>
      </w:r>
      <w:r w:rsidRPr="00032D45">
        <w:rPr>
          <w:rFonts w:ascii="Arial" w:hAnsi="Arial" w:cs="Arial"/>
        </w:rPr>
        <w:t xml:space="preserve"> importancia en el terreno de los derechos humanos, el Tribunal Europeo de Derechos Humanos y la Corte Interamericana de Derechos Humanos.</w:t>
      </w:r>
    </w:p>
    <w:p w:rsidR="009F2C69" w:rsidRPr="00032D45" w:rsidRDefault="009F2C69" w:rsidP="00CC01B7">
      <w:pPr>
        <w:widowControl w:val="0"/>
        <w:autoSpaceDE w:val="0"/>
        <w:autoSpaceDN w:val="0"/>
        <w:adjustRightInd w:val="0"/>
        <w:spacing w:after="0"/>
        <w:rPr>
          <w:rFonts w:ascii="Arial" w:hAnsi="Arial" w:cs="Arial"/>
        </w:rPr>
      </w:pPr>
    </w:p>
    <w:p w:rsidR="000C533F" w:rsidRPr="00032D45" w:rsidRDefault="000C533F" w:rsidP="00CC01B7">
      <w:pPr>
        <w:widowControl w:val="0"/>
        <w:autoSpaceDE w:val="0"/>
        <w:autoSpaceDN w:val="0"/>
        <w:adjustRightInd w:val="0"/>
        <w:spacing w:after="0"/>
        <w:rPr>
          <w:rFonts w:ascii="Arial" w:hAnsi="Arial" w:cs="Arial"/>
        </w:rPr>
      </w:pPr>
      <w:r w:rsidRPr="00032D45">
        <w:rPr>
          <w:rFonts w:ascii="Arial" w:hAnsi="Arial" w:cs="Arial"/>
          <w:b/>
        </w:rPr>
        <w:t>2. EL DERECHO A LA PARTICIPACIÓN POLÍTICA DE LAS PERSONAS CON DISCAPACIDAD EN LA JURISPRUDENCIA INTERNACIONAL.</w:t>
      </w:r>
    </w:p>
    <w:p w:rsidR="000C533F" w:rsidRPr="00032D45" w:rsidRDefault="000C533F" w:rsidP="00CC01B7">
      <w:pPr>
        <w:spacing w:after="0"/>
        <w:ind w:firstLine="708"/>
        <w:rPr>
          <w:rFonts w:ascii="Arial" w:hAnsi="Arial" w:cs="Arial"/>
        </w:rPr>
      </w:pPr>
    </w:p>
    <w:p w:rsidR="000C533F" w:rsidRPr="00032D45" w:rsidRDefault="000C533F" w:rsidP="00CC01B7">
      <w:pPr>
        <w:spacing w:after="0"/>
        <w:ind w:left="708" w:firstLine="1"/>
        <w:rPr>
          <w:rFonts w:ascii="Arial" w:hAnsi="Arial" w:cs="Arial"/>
        </w:rPr>
      </w:pPr>
      <w:r w:rsidRPr="00032D45">
        <w:rPr>
          <w:rFonts w:ascii="Arial" w:hAnsi="Arial" w:cs="Arial"/>
          <w:b/>
        </w:rPr>
        <w:t>2.1. La Jurisprudencia del Tribunal Europeo de Derechos Humanos en materia de derechos de participación política de las personas con discapacidad</w:t>
      </w:r>
      <w:r w:rsidRPr="00032D45">
        <w:rPr>
          <w:rFonts w:ascii="Arial" w:hAnsi="Arial" w:cs="Arial"/>
        </w:rPr>
        <w:t>.</w:t>
      </w:r>
    </w:p>
    <w:p w:rsidR="000C533F" w:rsidRPr="00032D45" w:rsidRDefault="000C533F" w:rsidP="00CC01B7">
      <w:pPr>
        <w:spacing w:after="0"/>
        <w:ind w:firstLine="708"/>
        <w:rPr>
          <w:rFonts w:ascii="Arial" w:hAnsi="Arial" w:cs="Arial"/>
        </w:rPr>
      </w:pPr>
    </w:p>
    <w:p w:rsidR="000C533F" w:rsidRPr="00032D45" w:rsidRDefault="000C533F" w:rsidP="00CC01B7">
      <w:pPr>
        <w:spacing w:after="0"/>
        <w:rPr>
          <w:rFonts w:ascii="Arial" w:hAnsi="Arial" w:cs="Arial"/>
        </w:rPr>
      </w:pPr>
      <w:r w:rsidRPr="00032D45">
        <w:rPr>
          <w:rFonts w:ascii="Arial" w:hAnsi="Arial" w:cs="Arial"/>
        </w:rPr>
        <w:t>En materia de derechos políticos, la Jurisprudencia del Tribunal Europeo de Derechos Humanos (TEDH) resulta esencial para entender el alcance y extensión del artículo 3 del Protocolo Adicional de la Convención Europea de Derechos Humanos.</w:t>
      </w:r>
      <w:r w:rsidR="008D1069" w:rsidRPr="00032D45">
        <w:rPr>
          <w:rFonts w:ascii="Arial" w:hAnsi="Arial" w:cs="Arial"/>
        </w:rPr>
        <w:t xml:space="preserve"> </w:t>
      </w:r>
      <w:r w:rsidR="001C1130" w:rsidRPr="00032D45">
        <w:rPr>
          <w:rFonts w:ascii="Arial" w:hAnsi="Arial" w:cs="Arial"/>
        </w:rPr>
        <w:t xml:space="preserve">Reconociendo el carácter relativo del derecho a elecciones libres </w:t>
      </w:r>
      <w:r w:rsidR="008D1069" w:rsidRPr="00032D45">
        <w:rPr>
          <w:rFonts w:ascii="Arial" w:hAnsi="Arial" w:cs="Arial"/>
        </w:rPr>
        <w:t xml:space="preserve">proclamado en </w:t>
      </w:r>
      <w:r w:rsidR="001C1130" w:rsidRPr="00032D45">
        <w:rPr>
          <w:rFonts w:ascii="Arial" w:hAnsi="Arial" w:cs="Arial"/>
        </w:rPr>
        <w:t>el precitado artículo 3</w:t>
      </w:r>
      <w:r w:rsidR="00EB2D27" w:rsidRPr="00032D45">
        <w:rPr>
          <w:rStyle w:val="Refdenotaalpie"/>
          <w:rFonts w:ascii="Arial" w:hAnsi="Arial" w:cs="Arial"/>
        </w:rPr>
        <w:footnoteReference w:id="16"/>
      </w:r>
      <w:r w:rsidR="001C1130" w:rsidRPr="00032D45">
        <w:rPr>
          <w:rFonts w:ascii="Arial" w:hAnsi="Arial" w:cs="Arial"/>
        </w:rPr>
        <w:t xml:space="preserve">, </w:t>
      </w:r>
      <w:r w:rsidR="008D1069" w:rsidRPr="00032D45">
        <w:rPr>
          <w:rFonts w:ascii="Arial" w:hAnsi="Arial" w:cs="Arial"/>
        </w:rPr>
        <w:t xml:space="preserve">y admitiendo el margen de apreciación de los Estados para establecer restricciones legítimas al derecho de sufragio, </w:t>
      </w:r>
      <w:r w:rsidR="001C1130" w:rsidRPr="00032D45">
        <w:rPr>
          <w:rFonts w:ascii="Arial" w:hAnsi="Arial" w:cs="Arial"/>
        </w:rPr>
        <w:t>l</w:t>
      </w:r>
      <w:r w:rsidRPr="00032D45">
        <w:rPr>
          <w:rFonts w:ascii="Arial" w:hAnsi="Arial" w:cs="Arial"/>
        </w:rPr>
        <w:t>a doctrina establecida por el Tribunal de Estrasburg</w:t>
      </w:r>
      <w:r w:rsidR="008D1069" w:rsidRPr="00032D45">
        <w:rPr>
          <w:rFonts w:ascii="Arial" w:hAnsi="Arial" w:cs="Arial"/>
        </w:rPr>
        <w:t xml:space="preserve">o ha ido evolucionando hacia un mayor </w:t>
      </w:r>
      <w:r w:rsidRPr="00032D45">
        <w:rPr>
          <w:rFonts w:ascii="Arial" w:hAnsi="Arial" w:cs="Arial"/>
        </w:rPr>
        <w:t xml:space="preserve">control </w:t>
      </w:r>
      <w:r w:rsidR="008D1069" w:rsidRPr="00032D45">
        <w:rPr>
          <w:rFonts w:ascii="Arial" w:hAnsi="Arial" w:cs="Arial"/>
        </w:rPr>
        <w:t xml:space="preserve">y un </w:t>
      </w:r>
      <w:r w:rsidR="008D1069" w:rsidRPr="00032D45">
        <w:rPr>
          <w:rFonts w:ascii="Arial" w:hAnsi="Arial" w:cs="Arial"/>
        </w:rPr>
        <w:lastRenderedPageBreak/>
        <w:t>estrechamiento de ese</w:t>
      </w:r>
      <w:r w:rsidRPr="00032D45">
        <w:rPr>
          <w:rFonts w:ascii="Arial" w:hAnsi="Arial" w:cs="Arial"/>
        </w:rPr>
        <w:t xml:space="preserve"> “margen de apreciación”</w:t>
      </w:r>
      <w:r w:rsidRPr="00032D45">
        <w:rPr>
          <w:rStyle w:val="Refdenotaalpie"/>
          <w:rFonts w:ascii="Arial" w:hAnsi="Arial" w:cs="Arial"/>
        </w:rPr>
        <w:footnoteReference w:id="17"/>
      </w:r>
      <w:r w:rsidR="008D1069" w:rsidRPr="00032D45">
        <w:rPr>
          <w:rFonts w:ascii="Arial" w:hAnsi="Arial" w:cs="Arial"/>
        </w:rPr>
        <w:t xml:space="preserve">estatal </w:t>
      </w:r>
      <w:r w:rsidRPr="00032D45">
        <w:rPr>
          <w:rFonts w:ascii="Arial" w:hAnsi="Arial" w:cs="Arial"/>
        </w:rPr>
        <w:t>en la configuración legal de los requisitos para ejercer el derecho a eleccio</w:t>
      </w:r>
      <w:r w:rsidR="008D1069" w:rsidRPr="00032D45">
        <w:rPr>
          <w:rFonts w:ascii="Arial" w:hAnsi="Arial" w:cs="Arial"/>
        </w:rPr>
        <w:t>nes libres</w:t>
      </w:r>
      <w:r w:rsidR="00DF38FE">
        <w:rPr>
          <w:rFonts w:ascii="Arial" w:hAnsi="Arial" w:cs="Arial"/>
        </w:rPr>
        <w:t xml:space="preserve"> (Sánchez Molina, 2014: 371-386)</w:t>
      </w:r>
      <w:r w:rsidR="008D1069" w:rsidRPr="00032D45">
        <w:rPr>
          <w:rFonts w:ascii="Arial" w:hAnsi="Arial" w:cs="Arial"/>
        </w:rPr>
        <w:t xml:space="preserve">, y ello con la finalidad de </w:t>
      </w:r>
      <w:r w:rsidR="008D1069" w:rsidRPr="00032D45">
        <w:rPr>
          <w:rFonts w:ascii="Arial" w:hAnsi="Arial" w:cs="Arial"/>
          <w:i/>
        </w:rPr>
        <w:t>“mantener la integridad y efectividad de un procedimiento electoral encaminado a conocer la voluntad popular a través del sufragio universal”</w:t>
      </w:r>
      <w:r w:rsidR="008D1069" w:rsidRPr="00032D45">
        <w:rPr>
          <w:rStyle w:val="Refdenotaalpie"/>
          <w:rFonts w:ascii="Arial" w:hAnsi="Arial" w:cs="Arial"/>
          <w:i/>
        </w:rPr>
        <w:footnoteReference w:id="18"/>
      </w:r>
      <w:r w:rsidR="008D1069" w:rsidRPr="00032D45">
        <w:rPr>
          <w:rFonts w:ascii="Arial" w:hAnsi="Arial" w:cs="Arial"/>
        </w:rPr>
        <w:t>.</w:t>
      </w:r>
      <w:r w:rsidR="008D1069" w:rsidRPr="00032D45">
        <w:rPr>
          <w:rFonts w:ascii="Arial" w:hAnsi="Arial" w:cs="Arial"/>
          <w:i/>
        </w:rPr>
        <w:t xml:space="preserve"> </w:t>
      </w:r>
      <w:r w:rsidRPr="00032D45">
        <w:rPr>
          <w:rFonts w:ascii="Arial" w:hAnsi="Arial" w:cs="Arial"/>
        </w:rPr>
        <w:t xml:space="preserve">  </w:t>
      </w:r>
    </w:p>
    <w:p w:rsidR="000C533F" w:rsidRPr="00032D45" w:rsidRDefault="000C533F" w:rsidP="00CC01B7">
      <w:pPr>
        <w:spacing w:after="0"/>
        <w:ind w:firstLine="708"/>
        <w:rPr>
          <w:rFonts w:ascii="Arial" w:hAnsi="Arial" w:cs="Arial"/>
        </w:rPr>
      </w:pPr>
    </w:p>
    <w:p w:rsidR="008D1069" w:rsidRPr="00032D45" w:rsidRDefault="000C533F" w:rsidP="00CC01B7">
      <w:pPr>
        <w:spacing w:after="0"/>
        <w:rPr>
          <w:rFonts w:ascii="Arial" w:hAnsi="Arial" w:cs="Arial"/>
        </w:rPr>
      </w:pPr>
      <w:r w:rsidRPr="00032D45">
        <w:rPr>
          <w:rFonts w:ascii="Arial" w:hAnsi="Arial" w:cs="Arial"/>
        </w:rPr>
        <w:t>Así, aunque el Tribunal reconoce que los Estados pueden establecer ciertos requisitos para el ejercicio de este derecho al sufragio en base a circunstancias políticas, sociales e históricas del país, por ejemplo, en materia de nacionalidad, residencia o duración mínima de ésta, inscripción en el censo, condena penal, o discapacidad</w:t>
      </w:r>
      <w:r w:rsidR="00C217CC" w:rsidRPr="00032D45">
        <w:rPr>
          <w:rStyle w:val="Refdenotaalpie"/>
          <w:rFonts w:ascii="Arial" w:hAnsi="Arial" w:cs="Arial"/>
        </w:rPr>
        <w:footnoteReference w:id="19"/>
      </w:r>
      <w:r w:rsidR="00992C6C" w:rsidRPr="00032D45">
        <w:rPr>
          <w:rFonts w:ascii="Arial" w:hAnsi="Arial" w:cs="Arial"/>
        </w:rPr>
        <w:t>,</w:t>
      </w:r>
      <w:r w:rsidRPr="00032D45">
        <w:rPr>
          <w:rFonts w:ascii="Arial" w:hAnsi="Arial" w:cs="Arial"/>
        </w:rPr>
        <w:t xml:space="preserve"> el Tribunal tiene capacidad para controlar que estas condiciones no lesionen la esencia del derecho de sufragio o su efectividad así como para impedir que estas restricciones sean arbitrarias</w:t>
      </w:r>
      <w:r w:rsidR="00DF38FE">
        <w:rPr>
          <w:rFonts w:ascii="Arial" w:hAnsi="Arial" w:cs="Arial"/>
        </w:rPr>
        <w:t xml:space="preserve"> (Pérez Alberdi, 2013: 337-366)</w:t>
      </w:r>
      <w:r w:rsidR="00992C6C" w:rsidRPr="00032D45">
        <w:rPr>
          <w:rFonts w:ascii="Arial" w:hAnsi="Arial" w:cs="Arial"/>
        </w:rPr>
        <w:t>.</w:t>
      </w:r>
      <w:r w:rsidR="008D1069" w:rsidRPr="00032D45">
        <w:rPr>
          <w:rFonts w:ascii="Arial" w:hAnsi="Arial" w:cs="Arial"/>
        </w:rPr>
        <w:t xml:space="preserve"> </w:t>
      </w:r>
      <w:r w:rsidR="00B745B3" w:rsidRPr="00032D45">
        <w:rPr>
          <w:rFonts w:ascii="Arial" w:hAnsi="Arial" w:cs="Arial"/>
        </w:rPr>
        <w:t xml:space="preserve">En línea con ello, en su </w:t>
      </w:r>
      <w:r w:rsidR="008D1069" w:rsidRPr="00032D45">
        <w:rPr>
          <w:rFonts w:ascii="Arial" w:hAnsi="Arial" w:cs="Arial"/>
        </w:rPr>
        <w:t xml:space="preserve">célebre Sentencia </w:t>
      </w:r>
      <w:proofErr w:type="spellStart"/>
      <w:r w:rsidR="008D1069" w:rsidRPr="00032D45">
        <w:rPr>
          <w:rFonts w:ascii="Arial" w:hAnsi="Arial" w:cs="Arial"/>
          <w:i/>
        </w:rPr>
        <w:t>Hirst</w:t>
      </w:r>
      <w:proofErr w:type="spellEnd"/>
      <w:r w:rsidR="00B745B3" w:rsidRPr="00032D45">
        <w:rPr>
          <w:rStyle w:val="Refdenotaalpie"/>
          <w:rFonts w:ascii="Arial" w:hAnsi="Arial" w:cs="Arial"/>
          <w:i/>
        </w:rPr>
        <w:footnoteReference w:id="20"/>
      </w:r>
      <w:r w:rsidR="008D1069" w:rsidRPr="00032D45">
        <w:rPr>
          <w:rFonts w:ascii="Arial" w:hAnsi="Arial" w:cs="Arial"/>
        </w:rPr>
        <w:t xml:space="preserve">, el Tribunal plasma </w:t>
      </w:r>
      <w:r w:rsidR="00B745B3" w:rsidRPr="00032D45">
        <w:rPr>
          <w:rFonts w:ascii="Arial" w:hAnsi="Arial" w:cs="Arial"/>
        </w:rPr>
        <w:t xml:space="preserve">un </w:t>
      </w:r>
      <w:r w:rsidR="008D1069" w:rsidRPr="00032D45">
        <w:rPr>
          <w:rFonts w:ascii="Arial" w:hAnsi="Arial" w:cs="Arial"/>
        </w:rPr>
        <w:t xml:space="preserve">nuevo enfoque </w:t>
      </w:r>
      <w:r w:rsidR="00B745B3" w:rsidRPr="00032D45">
        <w:rPr>
          <w:rFonts w:ascii="Arial" w:hAnsi="Arial" w:cs="Arial"/>
        </w:rPr>
        <w:t xml:space="preserve">en relación al sufragio universal </w:t>
      </w:r>
      <w:r w:rsidR="008D1069" w:rsidRPr="00032D45">
        <w:rPr>
          <w:rFonts w:ascii="Arial" w:hAnsi="Arial" w:cs="Arial"/>
        </w:rPr>
        <w:t xml:space="preserve">al enfatizar que </w:t>
      </w:r>
      <w:r w:rsidR="008D1069" w:rsidRPr="00032D45">
        <w:rPr>
          <w:rFonts w:ascii="Arial" w:hAnsi="Arial" w:cs="Arial"/>
          <w:i/>
        </w:rPr>
        <w:t xml:space="preserve">“el derecho de voto no es un privilegio, y en el siglo XXI, la presunción en un Estado democrático debe </w:t>
      </w:r>
      <w:r w:rsidR="00B745B3" w:rsidRPr="00032D45">
        <w:rPr>
          <w:rFonts w:ascii="Arial" w:hAnsi="Arial" w:cs="Arial"/>
          <w:i/>
        </w:rPr>
        <w:t>obrar en favor de la concesión de este derecho al número más grande de personas”</w:t>
      </w:r>
      <w:r w:rsidR="00B745B3" w:rsidRPr="00032D45">
        <w:rPr>
          <w:rFonts w:ascii="Arial" w:hAnsi="Arial" w:cs="Arial"/>
        </w:rPr>
        <w:t xml:space="preserve">, lo que obviamente tendrá consecuencias en relación a las personas con discapacidad. </w:t>
      </w:r>
    </w:p>
    <w:p w:rsidR="000C533F" w:rsidRPr="00032D45" w:rsidRDefault="000C533F" w:rsidP="00CC01B7">
      <w:pPr>
        <w:spacing w:after="0"/>
        <w:ind w:firstLine="708"/>
        <w:rPr>
          <w:rFonts w:ascii="Arial" w:hAnsi="Arial" w:cs="Arial"/>
        </w:rPr>
      </w:pPr>
    </w:p>
    <w:p w:rsidR="000C533F" w:rsidRPr="00032D45" w:rsidRDefault="00C217CC" w:rsidP="00CC01B7">
      <w:pPr>
        <w:spacing w:after="0"/>
        <w:rPr>
          <w:rFonts w:ascii="Arial" w:hAnsi="Arial" w:cs="Arial"/>
        </w:rPr>
      </w:pPr>
      <w:r w:rsidRPr="00032D45">
        <w:rPr>
          <w:rFonts w:ascii="Arial" w:hAnsi="Arial" w:cs="Arial"/>
        </w:rPr>
        <w:t xml:space="preserve">En </w:t>
      </w:r>
      <w:r w:rsidR="0052568C" w:rsidRPr="00032D45">
        <w:rPr>
          <w:rFonts w:ascii="Arial" w:hAnsi="Arial" w:cs="Arial"/>
        </w:rPr>
        <w:t>este sentido</w:t>
      </w:r>
      <w:r w:rsidR="000C533F" w:rsidRPr="00032D45">
        <w:rPr>
          <w:rFonts w:ascii="Arial" w:hAnsi="Arial" w:cs="Arial"/>
        </w:rPr>
        <w:t xml:space="preserve">, </w:t>
      </w:r>
      <w:r w:rsidRPr="00032D45">
        <w:rPr>
          <w:rFonts w:ascii="Arial" w:hAnsi="Arial" w:cs="Arial"/>
        </w:rPr>
        <w:t xml:space="preserve">por ejemplo, </w:t>
      </w:r>
      <w:r w:rsidR="000C533F" w:rsidRPr="00032D45">
        <w:rPr>
          <w:rFonts w:ascii="Arial" w:hAnsi="Arial" w:cs="Arial"/>
        </w:rPr>
        <w:t>en lo que respecta a los casos de privación del voto a los condenados y a las personas con problemas de salud mental o discapacidad intelectual, el Tribunal lleva a cabo un control más estricto, supervisando tanto la posible arbitrariedad de la medida como su proporcionalidad</w:t>
      </w:r>
      <w:r w:rsidR="00A15E2A" w:rsidRPr="00032D45">
        <w:rPr>
          <w:rFonts w:ascii="Arial" w:hAnsi="Arial" w:cs="Arial"/>
        </w:rPr>
        <w:t>, con la finalidad de evitar la exclusión colectiva del derecho de sufragio de un grupo o categoría general de la población</w:t>
      </w:r>
      <w:r w:rsidR="00DF38FE">
        <w:rPr>
          <w:rFonts w:ascii="Arial" w:hAnsi="Arial" w:cs="Arial"/>
        </w:rPr>
        <w:t xml:space="preserve"> (Martínez- </w:t>
      </w:r>
      <w:proofErr w:type="spellStart"/>
      <w:r w:rsidR="00DF38FE">
        <w:rPr>
          <w:rFonts w:ascii="Arial" w:hAnsi="Arial" w:cs="Arial"/>
        </w:rPr>
        <w:t>Pujalte</w:t>
      </w:r>
      <w:proofErr w:type="spellEnd"/>
      <w:r w:rsidR="00DF38FE">
        <w:rPr>
          <w:rFonts w:ascii="Arial" w:hAnsi="Arial" w:cs="Arial"/>
        </w:rPr>
        <w:t>, 2015)</w:t>
      </w:r>
      <w:r w:rsidR="000C533F" w:rsidRPr="00032D45">
        <w:rPr>
          <w:rFonts w:ascii="Arial" w:hAnsi="Arial" w:cs="Arial"/>
        </w:rPr>
        <w:t>.</w:t>
      </w:r>
    </w:p>
    <w:p w:rsidR="000C533F" w:rsidRPr="00032D45" w:rsidRDefault="000C533F" w:rsidP="00CC01B7">
      <w:pPr>
        <w:spacing w:after="0"/>
        <w:ind w:firstLine="708"/>
        <w:rPr>
          <w:rFonts w:ascii="Arial" w:hAnsi="Arial" w:cs="Arial"/>
        </w:rPr>
      </w:pPr>
    </w:p>
    <w:p w:rsidR="000C533F" w:rsidRPr="00032D45" w:rsidRDefault="000C533F" w:rsidP="00CC01B7">
      <w:pPr>
        <w:spacing w:after="0"/>
        <w:rPr>
          <w:rFonts w:ascii="Arial" w:hAnsi="Arial" w:cs="Arial"/>
          <w:iCs/>
        </w:rPr>
      </w:pPr>
      <w:r w:rsidRPr="00032D45">
        <w:rPr>
          <w:rFonts w:ascii="Arial" w:hAnsi="Arial" w:cs="Arial"/>
        </w:rPr>
        <w:t>En lo que respecta</w:t>
      </w:r>
      <w:r w:rsidR="00A8239D" w:rsidRPr="00032D45">
        <w:rPr>
          <w:rFonts w:ascii="Arial" w:hAnsi="Arial" w:cs="Arial"/>
        </w:rPr>
        <w:t>, en concreto,</w:t>
      </w:r>
      <w:r w:rsidRPr="00032D45">
        <w:rPr>
          <w:rFonts w:ascii="Arial" w:hAnsi="Arial" w:cs="Arial"/>
        </w:rPr>
        <w:t xml:space="preserve"> a los derechos de voto de las personas con discapacidad, la sentencia del TEDH en el </w:t>
      </w:r>
      <w:r w:rsidRPr="00032D45">
        <w:rPr>
          <w:rFonts w:ascii="Arial" w:hAnsi="Arial" w:cs="Arial"/>
          <w:i/>
          <w:iCs/>
        </w:rPr>
        <w:t xml:space="preserve">Asunto </w:t>
      </w:r>
      <w:proofErr w:type="spellStart"/>
      <w:r w:rsidRPr="00032D45">
        <w:rPr>
          <w:rFonts w:ascii="Arial" w:hAnsi="Arial" w:cs="Arial"/>
          <w:i/>
          <w:iCs/>
        </w:rPr>
        <w:t>Alajos</w:t>
      </w:r>
      <w:proofErr w:type="spellEnd"/>
      <w:r w:rsidRPr="00032D45">
        <w:rPr>
          <w:rFonts w:ascii="Arial" w:hAnsi="Arial" w:cs="Arial"/>
          <w:i/>
          <w:iCs/>
        </w:rPr>
        <w:t xml:space="preserve"> Kiss contra Hungría</w:t>
      </w:r>
      <w:r w:rsidRPr="00032D45">
        <w:rPr>
          <w:rStyle w:val="Refdenotaalpie"/>
          <w:rFonts w:ascii="Arial" w:hAnsi="Arial" w:cs="Arial"/>
          <w:i/>
          <w:iCs/>
        </w:rPr>
        <w:footnoteReference w:id="21"/>
      </w:r>
      <w:r w:rsidRPr="00032D45">
        <w:rPr>
          <w:rFonts w:ascii="Arial" w:hAnsi="Arial" w:cs="Arial"/>
          <w:i/>
          <w:iCs/>
        </w:rPr>
        <w:t xml:space="preserve"> </w:t>
      </w:r>
      <w:r w:rsidRPr="00032D45">
        <w:rPr>
          <w:rFonts w:ascii="Arial" w:hAnsi="Arial" w:cs="Arial"/>
          <w:iCs/>
        </w:rPr>
        <w:t>devino trascendental.</w:t>
      </w:r>
      <w:r w:rsidRPr="00032D45">
        <w:rPr>
          <w:rFonts w:ascii="Arial" w:hAnsi="Arial" w:cs="Arial"/>
          <w:i/>
          <w:iCs/>
        </w:rPr>
        <w:t xml:space="preserve"> </w:t>
      </w:r>
      <w:r w:rsidRPr="00032D45">
        <w:rPr>
          <w:rFonts w:ascii="Arial" w:hAnsi="Arial" w:cs="Arial"/>
          <w:iCs/>
        </w:rPr>
        <w:t>El Tribunal entendió contraria al artículo 3 del Protocolo I de la Convención Europea de Derechos Humanos la privación automática del derecho de voto a todas las personas con algún tipo de desorden mental o intelectual, por considerarla desproporcionada, y exigió a las autoridades húngaras que esta medida debía ser excepcional -y no automática y general-, una vez se produzca una evaluación individualizada de las capacidades de la persona con discapacidad, es decir, de su aptitud para el ejercicio del voto</w:t>
      </w:r>
      <w:r w:rsidR="00DF38FE">
        <w:rPr>
          <w:rFonts w:ascii="Arial" w:hAnsi="Arial" w:cs="Arial"/>
          <w:iCs/>
        </w:rPr>
        <w:t xml:space="preserve"> </w:t>
      </w:r>
      <w:r w:rsidR="00DF38FE">
        <w:rPr>
          <w:rFonts w:ascii="Arial" w:hAnsi="Arial" w:cs="Arial"/>
        </w:rPr>
        <w:t>(Pérez Alberdi, 2013: 350)</w:t>
      </w:r>
      <w:r w:rsidRPr="00032D45">
        <w:rPr>
          <w:rFonts w:ascii="Arial" w:hAnsi="Arial" w:cs="Arial"/>
          <w:iCs/>
        </w:rPr>
        <w:t>.</w:t>
      </w:r>
      <w:r w:rsidR="00187102" w:rsidRPr="00032D45">
        <w:rPr>
          <w:rFonts w:ascii="Arial" w:hAnsi="Arial" w:cs="Arial"/>
          <w:iCs/>
        </w:rPr>
        <w:t xml:space="preserve"> </w:t>
      </w:r>
      <w:r w:rsidRPr="00032D45">
        <w:rPr>
          <w:rFonts w:ascii="Arial" w:hAnsi="Arial" w:cs="Arial"/>
          <w:iCs/>
        </w:rPr>
        <w:t>Afirma el Tribunal:</w:t>
      </w:r>
    </w:p>
    <w:p w:rsidR="000C533F" w:rsidRPr="00032D45" w:rsidRDefault="000C533F" w:rsidP="00CC01B7">
      <w:pPr>
        <w:spacing w:after="0"/>
        <w:ind w:firstLine="709"/>
        <w:rPr>
          <w:rFonts w:ascii="Arial" w:hAnsi="Arial" w:cs="Arial"/>
          <w:i/>
          <w:iCs/>
        </w:rPr>
      </w:pPr>
    </w:p>
    <w:p w:rsidR="000C533F" w:rsidRPr="00032D45" w:rsidRDefault="000C533F" w:rsidP="00CC01B7">
      <w:pPr>
        <w:spacing w:after="0"/>
        <w:ind w:left="709" w:firstLine="709"/>
        <w:rPr>
          <w:rFonts w:ascii="Arial" w:hAnsi="Arial" w:cs="Arial"/>
          <w:i/>
          <w:iCs/>
        </w:rPr>
      </w:pPr>
      <w:r w:rsidRPr="00032D45">
        <w:rPr>
          <w:rFonts w:ascii="Arial" w:hAnsi="Arial" w:cs="Arial"/>
          <w:i/>
          <w:iCs/>
        </w:rPr>
        <w:t xml:space="preserve">“[…] Si una restricción de derechos fundamentales se aplica a un particular grupo vulnerable en la sociedad, que ha sufrido discriminación en el pasado, como las personas con discapacidad, entonces el margen de apreciación de los Estados se reduce sustancialmente y deben existir razones de mucho peso para poder establecer restricciones a estos derechos </w:t>
      </w:r>
      <w:r w:rsidRPr="00032D45">
        <w:rPr>
          <w:rFonts w:ascii="Arial" w:hAnsi="Arial" w:cs="Arial"/>
          <w:iCs/>
        </w:rPr>
        <w:t>(como el derecho a elecciones libres)</w:t>
      </w:r>
      <w:r w:rsidRPr="00032D45">
        <w:rPr>
          <w:rFonts w:ascii="Arial" w:hAnsi="Arial" w:cs="Arial"/>
          <w:i/>
          <w:iCs/>
        </w:rPr>
        <w:t>.”</w:t>
      </w:r>
    </w:p>
    <w:p w:rsidR="000C533F" w:rsidRPr="00032D45" w:rsidRDefault="000C533F" w:rsidP="00CC01B7">
      <w:pPr>
        <w:spacing w:after="0"/>
        <w:ind w:firstLine="708"/>
        <w:rPr>
          <w:rFonts w:ascii="Arial" w:hAnsi="Arial" w:cs="Arial"/>
          <w:iCs/>
        </w:rPr>
      </w:pPr>
    </w:p>
    <w:p w:rsidR="000C533F" w:rsidRPr="00032D45" w:rsidRDefault="000C533F" w:rsidP="00CC01B7">
      <w:pPr>
        <w:spacing w:after="0"/>
        <w:rPr>
          <w:rFonts w:ascii="Arial" w:hAnsi="Arial" w:cs="Arial"/>
          <w:iCs/>
        </w:rPr>
      </w:pPr>
      <w:r w:rsidRPr="00032D45">
        <w:rPr>
          <w:rFonts w:ascii="Arial" w:hAnsi="Arial" w:cs="Arial"/>
          <w:iCs/>
        </w:rPr>
        <w:t>En definitiva, con esta sentencia, el Tribunal viene a exigir una mayor argumentación y fundamentación para aceptar la privación del derecho de voto a personas con riesgo de exclusión social, como presos o personas con discapacidad</w:t>
      </w:r>
      <w:r w:rsidRPr="00032D45">
        <w:rPr>
          <w:rStyle w:val="Refdenotaalpie"/>
          <w:rFonts w:ascii="Arial" w:hAnsi="Arial" w:cs="Arial"/>
          <w:iCs/>
        </w:rPr>
        <w:footnoteReference w:id="22"/>
      </w:r>
      <w:r w:rsidR="008A3E2D" w:rsidRPr="00032D45">
        <w:rPr>
          <w:rFonts w:ascii="Arial" w:hAnsi="Arial" w:cs="Arial"/>
          <w:iCs/>
        </w:rPr>
        <w:t>, lo que además debe ser la excepción y no la regla</w:t>
      </w:r>
      <w:r w:rsidR="00A36BFD" w:rsidRPr="00032D45">
        <w:rPr>
          <w:rFonts w:ascii="Arial" w:hAnsi="Arial" w:cs="Arial"/>
          <w:iCs/>
        </w:rPr>
        <w:t>.</w:t>
      </w:r>
      <w:r w:rsidR="00A45D6C" w:rsidRPr="00032D45">
        <w:rPr>
          <w:rFonts w:ascii="Arial" w:hAnsi="Arial" w:cs="Arial"/>
          <w:iCs/>
        </w:rPr>
        <w:t xml:space="preserve"> </w:t>
      </w:r>
      <w:r w:rsidRPr="00032D45">
        <w:rPr>
          <w:rFonts w:ascii="Arial" w:hAnsi="Arial" w:cs="Arial"/>
          <w:iCs/>
        </w:rPr>
        <w:t xml:space="preserve">A esta sentencia pionera le siguieron, entre otras, las </w:t>
      </w:r>
      <w:r w:rsidRPr="00032D45">
        <w:rPr>
          <w:rFonts w:ascii="Arial" w:hAnsi="Arial" w:cs="Arial"/>
          <w:i/>
          <w:iCs/>
        </w:rPr>
        <w:t xml:space="preserve">sentencias </w:t>
      </w:r>
      <w:proofErr w:type="spellStart"/>
      <w:r w:rsidRPr="00032D45">
        <w:rPr>
          <w:rFonts w:ascii="Arial" w:hAnsi="Arial" w:cs="Arial"/>
          <w:i/>
          <w:iCs/>
        </w:rPr>
        <w:t>Gajcsi</w:t>
      </w:r>
      <w:proofErr w:type="spellEnd"/>
      <w:r w:rsidRPr="00032D45">
        <w:rPr>
          <w:rFonts w:ascii="Arial" w:hAnsi="Arial" w:cs="Arial"/>
          <w:i/>
          <w:iCs/>
        </w:rPr>
        <w:t xml:space="preserve"> contra Hungría, de 23 de septiembre de 2014</w:t>
      </w:r>
      <w:r w:rsidRPr="00032D45">
        <w:rPr>
          <w:rStyle w:val="Refdenotaalpie"/>
          <w:rFonts w:ascii="Arial" w:hAnsi="Arial" w:cs="Arial"/>
          <w:iCs/>
        </w:rPr>
        <w:footnoteReference w:id="23"/>
      </w:r>
      <w:r w:rsidRPr="00032D45">
        <w:rPr>
          <w:rFonts w:ascii="Arial" w:hAnsi="Arial" w:cs="Arial"/>
          <w:iCs/>
        </w:rPr>
        <w:t xml:space="preserve">y </w:t>
      </w:r>
      <w:proofErr w:type="spellStart"/>
      <w:r w:rsidRPr="00032D45">
        <w:rPr>
          <w:rFonts w:ascii="Arial" w:hAnsi="Arial" w:cs="Arial"/>
          <w:i/>
          <w:iCs/>
        </w:rPr>
        <w:t>Harmati</w:t>
      </w:r>
      <w:proofErr w:type="spellEnd"/>
      <w:r w:rsidRPr="00032D45">
        <w:rPr>
          <w:rFonts w:ascii="Arial" w:hAnsi="Arial" w:cs="Arial"/>
          <w:i/>
          <w:iCs/>
        </w:rPr>
        <w:t xml:space="preserve"> contra Hungría, de 21 de octubre de 2014</w:t>
      </w:r>
      <w:r w:rsidRPr="00032D45">
        <w:rPr>
          <w:rStyle w:val="Refdenotaalpie"/>
          <w:rFonts w:ascii="Arial" w:hAnsi="Arial" w:cs="Arial"/>
          <w:iCs/>
        </w:rPr>
        <w:footnoteReference w:id="24"/>
      </w:r>
      <w:r w:rsidRPr="00032D45">
        <w:rPr>
          <w:rFonts w:ascii="Arial" w:hAnsi="Arial" w:cs="Arial"/>
          <w:iCs/>
        </w:rPr>
        <w:t xml:space="preserve">, que consolidaron </w:t>
      </w:r>
      <w:r w:rsidR="00B745B3" w:rsidRPr="00032D45">
        <w:rPr>
          <w:rFonts w:ascii="Arial" w:hAnsi="Arial" w:cs="Arial"/>
          <w:iCs/>
        </w:rPr>
        <w:t>est</w:t>
      </w:r>
      <w:r w:rsidRPr="00032D45">
        <w:rPr>
          <w:rFonts w:ascii="Arial" w:hAnsi="Arial" w:cs="Arial"/>
          <w:iCs/>
        </w:rPr>
        <w:t xml:space="preserve">a doctrina. </w:t>
      </w:r>
    </w:p>
    <w:p w:rsidR="00224E7D" w:rsidRPr="00032D45" w:rsidRDefault="00224E7D" w:rsidP="00CC01B7">
      <w:pPr>
        <w:spacing w:after="0"/>
        <w:rPr>
          <w:rFonts w:ascii="Arial" w:hAnsi="Arial" w:cs="Arial"/>
          <w:iCs/>
        </w:rPr>
      </w:pPr>
    </w:p>
    <w:p w:rsidR="00224E7D" w:rsidRPr="00032D45" w:rsidRDefault="00224E7D" w:rsidP="00CC01B7">
      <w:pPr>
        <w:spacing w:after="0"/>
        <w:rPr>
          <w:rFonts w:ascii="Arial" w:hAnsi="Arial" w:cs="Arial"/>
          <w:iCs/>
        </w:rPr>
      </w:pPr>
      <w:r w:rsidRPr="00032D45">
        <w:rPr>
          <w:rFonts w:ascii="Arial" w:hAnsi="Arial" w:cs="Arial"/>
          <w:iCs/>
        </w:rPr>
        <w:t xml:space="preserve">En suma, el TEDH establece una doctrina esencial para el desarrollo del derecho de participación política de las personas con discapacidad al calificar la privación del derecho de voto como una medida excepcional que sólo podrá adoptarse tras un examen individualizado. </w:t>
      </w:r>
      <w:r w:rsidR="00B745B3" w:rsidRPr="00032D45">
        <w:rPr>
          <w:rFonts w:ascii="Arial" w:hAnsi="Arial" w:cs="Arial"/>
          <w:iCs/>
        </w:rPr>
        <w:t>No obstante</w:t>
      </w:r>
      <w:r w:rsidRPr="00032D45">
        <w:rPr>
          <w:rFonts w:ascii="Arial" w:hAnsi="Arial" w:cs="Arial"/>
          <w:iCs/>
        </w:rPr>
        <w:t xml:space="preserve">, </w:t>
      </w:r>
      <w:r w:rsidR="00B745B3" w:rsidRPr="00032D45">
        <w:rPr>
          <w:rFonts w:ascii="Arial" w:hAnsi="Arial" w:cs="Arial"/>
          <w:iCs/>
        </w:rPr>
        <w:t>comprobamos</w:t>
      </w:r>
      <w:r w:rsidRPr="00032D45">
        <w:rPr>
          <w:rFonts w:ascii="Arial" w:hAnsi="Arial" w:cs="Arial"/>
          <w:iCs/>
        </w:rPr>
        <w:t xml:space="preserve"> que el Tribunal no proscribe –aún- todas las restricciones al derecho de voto de las personas con discapacidad, lo que podría entenderse contradictorio con la literalidad del artículo 29 de la Convenc</w:t>
      </w:r>
      <w:r w:rsidR="00B745B3" w:rsidRPr="00032D45">
        <w:rPr>
          <w:rFonts w:ascii="Arial" w:hAnsi="Arial" w:cs="Arial"/>
          <w:iCs/>
        </w:rPr>
        <w:t>ión de 2006. A pesar de ello, s</w:t>
      </w:r>
      <w:r w:rsidRPr="00032D45">
        <w:rPr>
          <w:rFonts w:ascii="Arial" w:hAnsi="Arial" w:cs="Arial"/>
          <w:iCs/>
        </w:rPr>
        <w:t xml:space="preserve">u gran virtualidad radica en que estrecha el cerco a tales restricciones y arrincona el margen de apreciación de los Estados, exigiendo a éstos que las restricciones a este derecho sean nítidamente razonables y </w:t>
      </w:r>
      <w:r w:rsidR="00BD6D20" w:rsidRPr="00032D45">
        <w:rPr>
          <w:rFonts w:ascii="Arial" w:hAnsi="Arial" w:cs="Arial"/>
          <w:iCs/>
        </w:rPr>
        <w:t>proporcionales</w:t>
      </w:r>
      <w:r w:rsidR="00BD6D20" w:rsidRPr="00032D45">
        <w:rPr>
          <w:rStyle w:val="Refdenotaalpie"/>
          <w:rFonts w:ascii="Arial" w:hAnsi="Arial" w:cs="Arial"/>
          <w:iCs/>
        </w:rPr>
        <w:footnoteReference w:id="25"/>
      </w:r>
      <w:r w:rsidRPr="00032D45">
        <w:rPr>
          <w:rFonts w:ascii="Arial" w:hAnsi="Arial" w:cs="Arial"/>
          <w:iCs/>
        </w:rPr>
        <w:t>,</w:t>
      </w:r>
      <w:r w:rsidR="00BD6D20" w:rsidRPr="00032D45">
        <w:rPr>
          <w:rFonts w:ascii="Arial" w:hAnsi="Arial" w:cs="Arial"/>
          <w:iCs/>
        </w:rPr>
        <w:t xml:space="preserve"> que persigan un fin legítimo</w:t>
      </w:r>
      <w:r w:rsidR="00BD6D20" w:rsidRPr="00032D45">
        <w:rPr>
          <w:rStyle w:val="Refdenotaalpie"/>
          <w:rFonts w:ascii="Arial" w:hAnsi="Arial" w:cs="Arial"/>
          <w:iCs/>
        </w:rPr>
        <w:footnoteReference w:id="26"/>
      </w:r>
      <w:r w:rsidR="00BD6D20" w:rsidRPr="00032D45">
        <w:rPr>
          <w:rFonts w:ascii="Arial" w:hAnsi="Arial" w:cs="Arial"/>
          <w:iCs/>
        </w:rPr>
        <w:t>, y que</w:t>
      </w:r>
      <w:r w:rsidRPr="00032D45">
        <w:rPr>
          <w:rFonts w:ascii="Arial" w:hAnsi="Arial" w:cs="Arial"/>
          <w:iCs/>
        </w:rPr>
        <w:t xml:space="preserve"> evit</w:t>
      </w:r>
      <w:r w:rsidR="00BD6D20" w:rsidRPr="00032D45">
        <w:rPr>
          <w:rFonts w:ascii="Arial" w:hAnsi="Arial" w:cs="Arial"/>
          <w:iCs/>
        </w:rPr>
        <w:t>en</w:t>
      </w:r>
      <w:r w:rsidRPr="00032D45">
        <w:rPr>
          <w:rFonts w:ascii="Arial" w:hAnsi="Arial" w:cs="Arial"/>
          <w:iCs/>
        </w:rPr>
        <w:t xml:space="preserve"> decisiones que pueden considerarse arbitrarias y contrarias a</w:t>
      </w:r>
      <w:r w:rsidR="00BD6D20" w:rsidRPr="00032D45">
        <w:rPr>
          <w:rFonts w:ascii="Arial" w:hAnsi="Arial" w:cs="Arial"/>
          <w:iCs/>
        </w:rPr>
        <w:t xml:space="preserve"> </w:t>
      </w:r>
      <w:r w:rsidRPr="00032D45">
        <w:rPr>
          <w:rFonts w:ascii="Arial" w:hAnsi="Arial" w:cs="Arial"/>
          <w:iCs/>
        </w:rPr>
        <w:t>l</w:t>
      </w:r>
      <w:r w:rsidR="00BD6D20" w:rsidRPr="00032D45">
        <w:rPr>
          <w:rFonts w:ascii="Arial" w:hAnsi="Arial" w:cs="Arial"/>
          <w:iCs/>
        </w:rPr>
        <w:t>a libre expresión del pueblo</w:t>
      </w:r>
      <w:r w:rsidR="00BD6D20" w:rsidRPr="00032D45">
        <w:rPr>
          <w:rStyle w:val="Refdenotaalpie"/>
          <w:rFonts w:ascii="Arial" w:hAnsi="Arial" w:cs="Arial"/>
          <w:iCs/>
        </w:rPr>
        <w:footnoteReference w:id="27"/>
      </w:r>
      <w:r w:rsidR="00BD6D20" w:rsidRPr="00032D45">
        <w:rPr>
          <w:rFonts w:ascii="Arial" w:hAnsi="Arial" w:cs="Arial"/>
          <w:iCs/>
        </w:rPr>
        <w:t xml:space="preserve"> y al </w:t>
      </w:r>
      <w:r w:rsidRPr="00032D45">
        <w:rPr>
          <w:rFonts w:ascii="Arial" w:hAnsi="Arial" w:cs="Arial"/>
          <w:iCs/>
        </w:rPr>
        <w:t xml:space="preserve"> principio fundamental de universalidad del sufragio.</w:t>
      </w:r>
      <w:r w:rsidR="00B745B3" w:rsidRPr="00032D45">
        <w:rPr>
          <w:rFonts w:ascii="Arial" w:hAnsi="Arial" w:cs="Arial"/>
          <w:iCs/>
        </w:rPr>
        <w:t xml:space="preserve"> </w:t>
      </w:r>
    </w:p>
    <w:p w:rsidR="000C533F" w:rsidRPr="00032D45" w:rsidRDefault="000C533F" w:rsidP="00CC01B7">
      <w:pPr>
        <w:spacing w:after="0"/>
        <w:ind w:firstLine="708"/>
        <w:rPr>
          <w:rFonts w:ascii="Arial" w:hAnsi="Arial" w:cs="Arial"/>
          <w:iCs/>
        </w:rPr>
      </w:pPr>
    </w:p>
    <w:p w:rsidR="000C533F" w:rsidRPr="00032D45" w:rsidRDefault="000C533F" w:rsidP="00CC01B7">
      <w:pPr>
        <w:spacing w:after="0"/>
        <w:ind w:left="708"/>
        <w:rPr>
          <w:rFonts w:ascii="Arial" w:hAnsi="Arial" w:cs="Arial"/>
        </w:rPr>
      </w:pPr>
      <w:r w:rsidRPr="00032D45">
        <w:rPr>
          <w:rFonts w:ascii="Arial" w:hAnsi="Arial" w:cs="Arial"/>
          <w:b/>
        </w:rPr>
        <w:t>2.2. La Jurisprudencia de la Corte Interamericana de Derechos Humanos en materia de derechos de participación política de grupos y personas vulnerables</w:t>
      </w:r>
      <w:r w:rsidRPr="00032D45">
        <w:rPr>
          <w:rFonts w:ascii="Arial" w:hAnsi="Arial" w:cs="Arial"/>
        </w:rPr>
        <w:t>.</w:t>
      </w:r>
    </w:p>
    <w:p w:rsidR="000C533F" w:rsidRPr="00032D45" w:rsidRDefault="000C533F" w:rsidP="00CC01B7">
      <w:pPr>
        <w:spacing w:after="0"/>
        <w:ind w:firstLine="708"/>
        <w:rPr>
          <w:rFonts w:ascii="Arial" w:hAnsi="Arial" w:cs="Arial"/>
        </w:rPr>
      </w:pPr>
    </w:p>
    <w:p w:rsidR="000C533F" w:rsidRPr="00032D45" w:rsidRDefault="000C533F" w:rsidP="00CC01B7">
      <w:pPr>
        <w:spacing w:after="0"/>
        <w:rPr>
          <w:rFonts w:ascii="Arial" w:hAnsi="Arial" w:cs="Arial"/>
        </w:rPr>
      </w:pPr>
      <w:r w:rsidRPr="00032D45">
        <w:rPr>
          <w:rFonts w:ascii="Arial" w:hAnsi="Arial" w:cs="Arial"/>
        </w:rPr>
        <w:t>El continente americano cuenta con un fundamental tribunal internacional que vela por la protección y promoción de los derechos humanos contenidos en la Convención Americana de Derechos Humanos, la Corte Interamericana de Derechos Humanos</w:t>
      </w:r>
      <w:r w:rsidR="00542627">
        <w:rPr>
          <w:rFonts w:ascii="Arial" w:hAnsi="Arial" w:cs="Arial"/>
        </w:rPr>
        <w:t xml:space="preserve"> (CIDH)</w:t>
      </w:r>
      <w:r w:rsidRPr="00032D45">
        <w:rPr>
          <w:rFonts w:ascii="Arial" w:hAnsi="Arial" w:cs="Arial"/>
        </w:rPr>
        <w:t xml:space="preserve">, con sede en San José, de Costa Rica. En lo que concierne a la protección de los derechos políticos en el continente, la sentencia dictada </w:t>
      </w:r>
      <w:r w:rsidR="00542627">
        <w:rPr>
          <w:rFonts w:ascii="Arial" w:hAnsi="Arial" w:cs="Arial"/>
        </w:rPr>
        <w:t xml:space="preserve">el 23 de junio de 2005 </w:t>
      </w:r>
      <w:r w:rsidRPr="00032D45">
        <w:rPr>
          <w:rFonts w:ascii="Arial" w:hAnsi="Arial" w:cs="Arial"/>
        </w:rPr>
        <w:t xml:space="preserve">por la </w:t>
      </w:r>
      <w:r w:rsidR="00542627">
        <w:rPr>
          <w:rFonts w:ascii="Arial" w:hAnsi="Arial" w:cs="Arial"/>
        </w:rPr>
        <w:t>CIDH</w:t>
      </w:r>
      <w:r w:rsidRPr="00032D45">
        <w:rPr>
          <w:rFonts w:ascii="Arial" w:hAnsi="Arial" w:cs="Arial"/>
        </w:rPr>
        <w:t xml:space="preserve"> en el </w:t>
      </w:r>
      <w:r w:rsidRPr="00032D45">
        <w:rPr>
          <w:rFonts w:ascii="Arial" w:hAnsi="Arial" w:cs="Arial"/>
          <w:i/>
        </w:rPr>
        <w:t xml:space="preserve">Caso </w:t>
      </w:r>
      <w:proofErr w:type="spellStart"/>
      <w:r w:rsidRPr="00032D45">
        <w:rPr>
          <w:rFonts w:ascii="Arial" w:hAnsi="Arial" w:cs="Arial"/>
          <w:i/>
        </w:rPr>
        <w:t>Yatama</w:t>
      </w:r>
      <w:proofErr w:type="spellEnd"/>
      <w:r w:rsidR="00B655E0" w:rsidRPr="00B655E0">
        <w:rPr>
          <w:rFonts w:ascii="Arial" w:hAnsi="Arial" w:cs="Arial"/>
          <w:i/>
          <w:vertAlign w:val="superscript"/>
        </w:rPr>
        <w:footnoteReference w:id="28"/>
      </w:r>
      <w:r w:rsidRPr="00032D45">
        <w:rPr>
          <w:rFonts w:ascii="Arial" w:hAnsi="Arial" w:cs="Arial"/>
          <w:i/>
        </w:rPr>
        <w:t xml:space="preserve"> </w:t>
      </w:r>
      <w:r w:rsidRPr="00032D45">
        <w:rPr>
          <w:rFonts w:ascii="Arial" w:hAnsi="Arial" w:cs="Arial"/>
        </w:rPr>
        <w:t xml:space="preserve">significó un </w:t>
      </w:r>
      <w:r w:rsidR="008A3E2D" w:rsidRPr="00032D45">
        <w:rPr>
          <w:rFonts w:ascii="Arial" w:hAnsi="Arial" w:cs="Arial"/>
        </w:rPr>
        <w:t>punto de inflexión</w:t>
      </w:r>
      <w:r w:rsidRPr="00032D45">
        <w:rPr>
          <w:rFonts w:ascii="Arial" w:hAnsi="Arial" w:cs="Arial"/>
        </w:rPr>
        <w:t>.</w:t>
      </w:r>
      <w:r w:rsidR="00452F4F" w:rsidRPr="00032D45">
        <w:rPr>
          <w:rFonts w:ascii="Arial" w:hAnsi="Arial" w:cs="Arial"/>
        </w:rPr>
        <w:t xml:space="preserve"> </w:t>
      </w:r>
      <w:r w:rsidR="00514A9D" w:rsidRPr="00032D45">
        <w:rPr>
          <w:rFonts w:ascii="Arial" w:hAnsi="Arial" w:cs="Arial"/>
        </w:rPr>
        <w:t>L</w:t>
      </w:r>
      <w:r w:rsidRPr="00032D45">
        <w:rPr>
          <w:rFonts w:ascii="Arial" w:hAnsi="Arial" w:cs="Arial"/>
        </w:rPr>
        <w:t xml:space="preserve">a Corte encontró que Nicaragua no adoptó las medidas necesarias para garantizar el goce del derecho a ser elegidos de los candidatos propuestos por </w:t>
      </w:r>
      <w:r w:rsidR="00A36BFD" w:rsidRPr="00032D45">
        <w:rPr>
          <w:rFonts w:ascii="Arial" w:hAnsi="Arial" w:cs="Arial"/>
        </w:rPr>
        <w:t xml:space="preserve">la agrupación indígena </w:t>
      </w:r>
      <w:r w:rsidRPr="00032D45">
        <w:rPr>
          <w:rFonts w:ascii="Arial" w:hAnsi="Arial" w:cs="Arial"/>
        </w:rPr>
        <w:t xml:space="preserve">YATAMA, ya que se </w:t>
      </w:r>
      <w:r w:rsidRPr="00032D45">
        <w:rPr>
          <w:rFonts w:ascii="Arial" w:hAnsi="Arial" w:cs="Arial"/>
        </w:rPr>
        <w:lastRenderedPageBreak/>
        <w:t>vieron afectados por la discriminación legal y de hecho</w:t>
      </w:r>
      <w:r w:rsidR="008A3E2D" w:rsidRPr="00032D45">
        <w:rPr>
          <w:rFonts w:ascii="Arial" w:hAnsi="Arial" w:cs="Arial"/>
        </w:rPr>
        <w:t>, lo</w:t>
      </w:r>
      <w:r w:rsidRPr="00032D45">
        <w:rPr>
          <w:rFonts w:ascii="Arial" w:hAnsi="Arial" w:cs="Arial"/>
        </w:rPr>
        <w:t xml:space="preserve"> que impidió su participación en condicione</w:t>
      </w:r>
      <w:r w:rsidR="00B655E0">
        <w:rPr>
          <w:rFonts w:ascii="Arial" w:hAnsi="Arial" w:cs="Arial"/>
        </w:rPr>
        <w:t>s de igualdad en las elecciones.</w:t>
      </w:r>
    </w:p>
    <w:p w:rsidR="000C533F" w:rsidRPr="00032D45" w:rsidRDefault="000C533F" w:rsidP="00CC01B7">
      <w:pPr>
        <w:spacing w:after="0"/>
        <w:ind w:firstLine="708"/>
        <w:rPr>
          <w:rFonts w:ascii="Arial" w:hAnsi="Arial" w:cs="Arial"/>
          <w:b/>
        </w:rPr>
      </w:pPr>
    </w:p>
    <w:p w:rsidR="000C533F" w:rsidRPr="00030371" w:rsidRDefault="00262A92" w:rsidP="00CC01B7">
      <w:pPr>
        <w:spacing w:after="0"/>
        <w:rPr>
          <w:rFonts w:ascii="Arial" w:eastAsia="Times New Roman" w:hAnsi="Arial" w:cs="Arial"/>
          <w:i/>
          <w:lang w:eastAsia="es-ES"/>
        </w:rPr>
      </w:pPr>
      <w:r w:rsidRPr="00032D45">
        <w:rPr>
          <w:rFonts w:ascii="Arial" w:hAnsi="Arial" w:cs="Arial"/>
        </w:rPr>
        <w:t>L</w:t>
      </w:r>
      <w:r w:rsidR="000C533F" w:rsidRPr="00032D45">
        <w:rPr>
          <w:rFonts w:ascii="Arial" w:hAnsi="Arial" w:cs="Arial"/>
        </w:rPr>
        <w:t>a resolución de la Corte Interamericana sentenció que</w:t>
      </w:r>
      <w:r w:rsidR="00A8239D" w:rsidRPr="00032D45">
        <w:rPr>
          <w:rFonts w:ascii="Arial" w:hAnsi="Arial" w:cs="Arial"/>
        </w:rPr>
        <w:t>,</w:t>
      </w:r>
      <w:r w:rsidR="000C533F" w:rsidRPr="00032D45">
        <w:rPr>
          <w:rFonts w:ascii="Arial" w:hAnsi="Arial" w:cs="Arial"/>
        </w:rPr>
        <w:t xml:space="preserve"> al </w:t>
      </w:r>
      <w:r w:rsidR="000C533F" w:rsidRPr="00032D45">
        <w:rPr>
          <w:rFonts w:ascii="Arial" w:eastAsia="Times New Roman" w:hAnsi="Arial" w:cs="Arial"/>
          <w:lang w:eastAsia="es-ES"/>
        </w:rPr>
        <w:t>analizar el  goce de estos derechos políticos, se debe tomar  en consideración que se trata de personas que pertenecen a comunidades  indígenas y étnicas, que se diferencian de la mayoría de la población por sus lenguas, costumbres y formas de organización,</w:t>
      </w:r>
      <w:r w:rsidR="000C533F" w:rsidRPr="00032D45">
        <w:rPr>
          <w:rFonts w:ascii="Arial" w:eastAsia="Times New Roman" w:hAnsi="Arial" w:cs="Arial"/>
          <w:i/>
          <w:lang w:eastAsia="es-ES"/>
        </w:rPr>
        <w:t xml:space="preserve"> “y enfrentan serias dificultades que los mantienen en una situación de vu</w:t>
      </w:r>
      <w:r w:rsidR="0052568C" w:rsidRPr="00032D45">
        <w:rPr>
          <w:rFonts w:ascii="Arial" w:eastAsia="Times New Roman" w:hAnsi="Arial" w:cs="Arial"/>
          <w:i/>
          <w:lang w:eastAsia="es-ES"/>
        </w:rPr>
        <w:t>lnerabilidad  y marginalidad”.</w:t>
      </w:r>
      <w:r w:rsidR="00030371">
        <w:rPr>
          <w:rFonts w:ascii="Arial" w:eastAsia="Times New Roman" w:hAnsi="Arial" w:cs="Arial"/>
          <w:i/>
          <w:lang w:eastAsia="es-ES"/>
        </w:rPr>
        <w:t xml:space="preserve"> </w:t>
      </w:r>
      <w:r w:rsidR="00073D88" w:rsidRPr="00032D45">
        <w:rPr>
          <w:rFonts w:ascii="Arial" w:hAnsi="Arial" w:cs="Arial"/>
        </w:rPr>
        <w:t>E</w:t>
      </w:r>
      <w:r w:rsidR="000C533F" w:rsidRPr="00032D45">
        <w:rPr>
          <w:rFonts w:ascii="Arial" w:hAnsi="Arial" w:cs="Arial"/>
        </w:rPr>
        <w:t xml:space="preserve">sta sentencia es de trascendental </w:t>
      </w:r>
      <w:r w:rsidR="00617BD2" w:rsidRPr="00032D45">
        <w:rPr>
          <w:rFonts w:ascii="Arial" w:hAnsi="Arial" w:cs="Arial"/>
        </w:rPr>
        <w:t>relevancia</w:t>
      </w:r>
      <w:r w:rsidR="000C533F" w:rsidRPr="00032D45">
        <w:rPr>
          <w:rFonts w:ascii="Arial" w:hAnsi="Arial" w:cs="Arial"/>
        </w:rPr>
        <w:t xml:space="preserve"> para el desarrollo de la jurisprudencia en materia de derecho internacional de derechos humanos</w:t>
      </w:r>
      <w:r w:rsidR="00F131F0">
        <w:rPr>
          <w:rFonts w:ascii="Arial" w:hAnsi="Arial" w:cs="Arial"/>
        </w:rPr>
        <w:t xml:space="preserve"> (González </w:t>
      </w:r>
      <w:proofErr w:type="spellStart"/>
      <w:r w:rsidR="00F131F0">
        <w:rPr>
          <w:rFonts w:ascii="Arial" w:hAnsi="Arial" w:cs="Arial"/>
        </w:rPr>
        <w:t>Volio</w:t>
      </w:r>
      <w:proofErr w:type="spellEnd"/>
      <w:r w:rsidR="00F131F0">
        <w:rPr>
          <w:rFonts w:ascii="Arial" w:hAnsi="Arial" w:cs="Arial"/>
        </w:rPr>
        <w:t>, 2005)</w:t>
      </w:r>
      <w:r w:rsidR="00A36BFD" w:rsidRPr="00032D45">
        <w:rPr>
          <w:rFonts w:ascii="Arial" w:hAnsi="Arial" w:cs="Arial"/>
        </w:rPr>
        <w:t>, y además</w:t>
      </w:r>
      <w:r w:rsidR="000C533F" w:rsidRPr="00032D45">
        <w:rPr>
          <w:rFonts w:ascii="Arial" w:hAnsi="Arial" w:cs="Arial"/>
        </w:rPr>
        <w:t xml:space="preserve"> resulta de gran importancia dado que es la primera vez que la Corte, </w:t>
      </w:r>
      <w:r w:rsidR="000C533F" w:rsidRPr="00032D45">
        <w:rPr>
          <w:rFonts w:ascii="Arial" w:eastAsia="Calibri" w:hAnsi="Arial" w:cs="Arial"/>
        </w:rPr>
        <w:t xml:space="preserve">en un caso contencioso, reconoce el carácter de </w:t>
      </w:r>
      <w:r w:rsidR="00A8239D" w:rsidRPr="00032D45">
        <w:rPr>
          <w:rFonts w:ascii="Arial" w:eastAsia="Calibri" w:hAnsi="Arial" w:cs="Arial"/>
          <w:i/>
        </w:rPr>
        <w:t>“</w:t>
      </w:r>
      <w:proofErr w:type="spellStart"/>
      <w:r w:rsidR="000C533F" w:rsidRPr="00032D45">
        <w:rPr>
          <w:rFonts w:ascii="Arial" w:eastAsia="Calibri" w:hAnsi="Arial" w:cs="Arial"/>
          <w:i/>
          <w:iCs/>
        </w:rPr>
        <w:t>ius</w:t>
      </w:r>
      <w:proofErr w:type="spellEnd"/>
      <w:r w:rsidR="000C533F" w:rsidRPr="00032D45">
        <w:rPr>
          <w:rFonts w:ascii="Arial" w:eastAsia="Calibri" w:hAnsi="Arial" w:cs="Arial"/>
          <w:i/>
          <w:iCs/>
        </w:rPr>
        <w:t xml:space="preserve"> </w:t>
      </w:r>
      <w:proofErr w:type="spellStart"/>
      <w:r w:rsidR="000C533F" w:rsidRPr="00032D45">
        <w:rPr>
          <w:rFonts w:ascii="Arial" w:eastAsia="Calibri" w:hAnsi="Arial" w:cs="Arial"/>
          <w:i/>
          <w:iCs/>
        </w:rPr>
        <w:t>cogens</w:t>
      </w:r>
      <w:proofErr w:type="spellEnd"/>
      <w:r w:rsidR="00A8239D" w:rsidRPr="00032D45">
        <w:rPr>
          <w:rFonts w:ascii="Arial" w:eastAsia="Calibri" w:hAnsi="Arial" w:cs="Arial"/>
          <w:i/>
          <w:iCs/>
        </w:rPr>
        <w:t>”</w:t>
      </w:r>
      <w:r w:rsidR="000C533F" w:rsidRPr="00032D45">
        <w:rPr>
          <w:rFonts w:ascii="Arial" w:eastAsia="Calibri" w:hAnsi="Arial" w:cs="Arial"/>
        </w:rPr>
        <w:t xml:space="preserve"> atribuido al </w:t>
      </w:r>
      <w:r w:rsidR="000C533F" w:rsidRPr="00032D45">
        <w:rPr>
          <w:rFonts w:ascii="Arial" w:eastAsia="Calibri" w:hAnsi="Arial" w:cs="Arial"/>
          <w:i/>
        </w:rPr>
        <w:t>principio básico de igualdad y no discriminación</w:t>
      </w:r>
      <w:r w:rsidR="000C533F" w:rsidRPr="00032D45">
        <w:rPr>
          <w:rFonts w:ascii="Arial" w:eastAsia="Calibri" w:hAnsi="Arial" w:cs="Arial"/>
        </w:rPr>
        <w:t>.</w:t>
      </w:r>
    </w:p>
    <w:p w:rsidR="000C533F" w:rsidRPr="00032D45" w:rsidRDefault="000C533F" w:rsidP="00CC01B7">
      <w:pPr>
        <w:spacing w:after="0"/>
        <w:ind w:firstLine="708"/>
        <w:rPr>
          <w:rFonts w:ascii="Arial" w:hAnsi="Arial" w:cs="Arial"/>
        </w:rPr>
      </w:pPr>
    </w:p>
    <w:p w:rsidR="000C533F" w:rsidRPr="00032D45" w:rsidRDefault="00073D88" w:rsidP="00CC01B7">
      <w:pPr>
        <w:widowControl w:val="0"/>
        <w:spacing w:after="0"/>
        <w:rPr>
          <w:rFonts w:ascii="Arial" w:eastAsia="Calibri" w:hAnsi="Arial" w:cs="Arial"/>
        </w:rPr>
      </w:pPr>
      <w:r w:rsidRPr="00032D45">
        <w:rPr>
          <w:rFonts w:ascii="Arial" w:eastAsia="Calibri" w:hAnsi="Arial" w:cs="Arial"/>
        </w:rPr>
        <w:t>La sentencia YATAMA ha creado una</w:t>
      </w:r>
      <w:r w:rsidR="000C533F" w:rsidRPr="00032D45">
        <w:rPr>
          <w:rFonts w:ascii="Arial" w:eastAsia="Calibri" w:hAnsi="Arial" w:cs="Arial"/>
        </w:rPr>
        <w:t xml:space="preserve"> línea jurisprudencial</w:t>
      </w:r>
      <w:r w:rsidR="003B131D" w:rsidRPr="00032D45">
        <w:rPr>
          <w:rFonts w:ascii="Arial" w:eastAsia="Calibri" w:hAnsi="Arial" w:cs="Arial"/>
        </w:rPr>
        <w:t xml:space="preserve"> basada en la defensa del principio de la igualdad y la no discriminación</w:t>
      </w:r>
      <w:r w:rsidRPr="00032D45">
        <w:rPr>
          <w:rFonts w:ascii="Arial" w:eastAsia="Calibri" w:hAnsi="Arial" w:cs="Arial"/>
        </w:rPr>
        <w:t>,</w:t>
      </w:r>
      <w:r w:rsidR="000C533F" w:rsidRPr="00032D45">
        <w:rPr>
          <w:rFonts w:ascii="Arial" w:eastAsia="Calibri" w:hAnsi="Arial" w:cs="Arial"/>
        </w:rPr>
        <w:t xml:space="preserve"> en lo que respecta a las restricciones indebidas sobre el disfrute de derechos políticos</w:t>
      </w:r>
      <w:r w:rsidRPr="00032D45">
        <w:rPr>
          <w:rFonts w:ascii="Arial" w:eastAsia="Calibri" w:hAnsi="Arial" w:cs="Arial"/>
        </w:rPr>
        <w:t xml:space="preserve">, que ha marcado </w:t>
      </w:r>
      <w:r w:rsidR="000C533F" w:rsidRPr="00032D45">
        <w:rPr>
          <w:rFonts w:ascii="Arial" w:eastAsia="Calibri" w:hAnsi="Arial" w:cs="Arial"/>
        </w:rPr>
        <w:t xml:space="preserve">sucesivas </w:t>
      </w:r>
      <w:r w:rsidR="008074B2" w:rsidRPr="00032D45">
        <w:rPr>
          <w:rFonts w:ascii="Arial" w:eastAsia="Calibri" w:hAnsi="Arial" w:cs="Arial"/>
        </w:rPr>
        <w:t>resoluciones</w:t>
      </w:r>
      <w:r w:rsidR="00B655E0">
        <w:rPr>
          <w:rFonts w:ascii="Arial" w:eastAsia="Calibri" w:hAnsi="Arial" w:cs="Arial"/>
        </w:rPr>
        <w:t xml:space="preserve"> de la Corte</w:t>
      </w:r>
      <w:r w:rsidR="000C533F" w:rsidRPr="00032D45">
        <w:rPr>
          <w:rStyle w:val="Refdenotaalpie"/>
          <w:rFonts w:ascii="Arial" w:eastAsia="Calibri" w:hAnsi="Arial" w:cs="Arial"/>
          <w:i/>
        </w:rPr>
        <w:footnoteReference w:id="29"/>
      </w:r>
      <w:r w:rsidR="000C533F" w:rsidRPr="00032D45">
        <w:rPr>
          <w:rFonts w:ascii="Arial" w:eastAsia="Calibri" w:hAnsi="Arial" w:cs="Arial"/>
          <w:bCs/>
        </w:rPr>
        <w:t>.</w:t>
      </w:r>
      <w:r w:rsidR="001C2969" w:rsidRPr="00032D45">
        <w:rPr>
          <w:rFonts w:ascii="Arial" w:eastAsia="Calibri" w:hAnsi="Arial" w:cs="Arial"/>
          <w:bCs/>
        </w:rPr>
        <w:t xml:space="preserve"> </w:t>
      </w:r>
      <w:r w:rsidRPr="00032D45">
        <w:rPr>
          <w:rFonts w:ascii="Arial" w:eastAsia="Calibri" w:hAnsi="Arial" w:cs="Arial"/>
        </w:rPr>
        <w:t>A</w:t>
      </w:r>
      <w:r w:rsidR="000C533F" w:rsidRPr="00032D45">
        <w:rPr>
          <w:rFonts w:ascii="Arial" w:eastAsia="Calibri" w:hAnsi="Arial" w:cs="Arial"/>
        </w:rPr>
        <w:t xml:space="preserve">simismo la doctrina jurisprudencial desarrollada en la Sentencia YATAMA </w:t>
      </w:r>
      <w:r w:rsidRPr="00032D45">
        <w:rPr>
          <w:rFonts w:ascii="Arial" w:eastAsia="Calibri" w:hAnsi="Arial" w:cs="Arial"/>
        </w:rPr>
        <w:t>constituye un precedente fundamental para otras</w:t>
      </w:r>
      <w:r w:rsidR="000C533F" w:rsidRPr="00032D45">
        <w:rPr>
          <w:rFonts w:ascii="Arial" w:eastAsia="Calibri" w:hAnsi="Arial" w:cs="Arial"/>
        </w:rPr>
        <w:t xml:space="preserve"> resoluciones posteriores </w:t>
      </w:r>
      <w:r w:rsidRPr="00032D45">
        <w:rPr>
          <w:rFonts w:ascii="Arial" w:eastAsia="Calibri" w:hAnsi="Arial" w:cs="Arial"/>
        </w:rPr>
        <w:t>dictadas por</w:t>
      </w:r>
      <w:r w:rsidR="000C533F" w:rsidRPr="00032D45">
        <w:rPr>
          <w:rFonts w:ascii="Arial" w:eastAsia="Calibri" w:hAnsi="Arial" w:cs="Arial"/>
        </w:rPr>
        <w:t xml:space="preserve"> la Corte Interamericana de Derechos Humanos sobre derechos políticos, incluso no relacionados con pueblos indígenas</w:t>
      </w:r>
      <w:r w:rsidR="008074B2" w:rsidRPr="00032D45">
        <w:rPr>
          <w:rFonts w:ascii="Arial" w:eastAsia="Calibri" w:hAnsi="Arial" w:cs="Arial"/>
          <w:bCs/>
          <w:vertAlign w:val="superscript"/>
        </w:rPr>
        <w:footnoteReference w:id="30"/>
      </w:r>
      <w:r w:rsidR="00A36BFD" w:rsidRPr="00032D45">
        <w:rPr>
          <w:rFonts w:ascii="Arial" w:eastAsia="Calibri" w:hAnsi="Arial" w:cs="Arial"/>
        </w:rPr>
        <w:t>,</w:t>
      </w:r>
      <w:r w:rsidR="00A36BFD" w:rsidRPr="00032D45">
        <w:rPr>
          <w:rFonts w:ascii="Arial" w:eastAsia="Calibri" w:hAnsi="Arial" w:cs="Arial"/>
          <w:b/>
          <w:i/>
        </w:rPr>
        <w:t xml:space="preserve"> </w:t>
      </w:r>
      <w:r w:rsidR="000C533F" w:rsidRPr="00032D45">
        <w:rPr>
          <w:rFonts w:ascii="Arial" w:eastAsia="Calibri" w:hAnsi="Arial" w:cs="Arial"/>
        </w:rPr>
        <w:t xml:space="preserve">en </w:t>
      </w:r>
      <w:r w:rsidR="00552A21">
        <w:rPr>
          <w:rFonts w:ascii="Arial" w:eastAsia="Calibri" w:hAnsi="Arial" w:cs="Arial"/>
        </w:rPr>
        <w:t xml:space="preserve">los que </w:t>
      </w:r>
      <w:r w:rsidR="000C533F" w:rsidRPr="00032D45">
        <w:rPr>
          <w:rFonts w:ascii="Arial" w:eastAsia="Calibri" w:hAnsi="Arial" w:cs="Arial"/>
        </w:rPr>
        <w:t>la que la Corte indicó que las condiciones y circunstancias generales que autorizan una restricción al ejercicio de un derecho humano deben estar claramente establecidas por una ley en sentido formal y material</w:t>
      </w:r>
      <w:r w:rsidR="00A36BFD" w:rsidRPr="00032D45">
        <w:rPr>
          <w:rFonts w:ascii="Arial" w:eastAsia="Calibri" w:hAnsi="Arial" w:cs="Arial"/>
        </w:rPr>
        <w:t xml:space="preserve">, </w:t>
      </w:r>
      <w:r w:rsidR="000C533F" w:rsidRPr="00032D45">
        <w:rPr>
          <w:rFonts w:ascii="Arial" w:eastAsia="Calibri" w:hAnsi="Arial" w:cs="Arial"/>
        </w:rPr>
        <w:t>al constituir el ejercicio efectivo de los derechos políticos un fin en sí mismo y, a la vez, un medio fundamental que las sociedades democráticas tienen para garantizar los demás derechos humanos</w:t>
      </w:r>
      <w:r w:rsidR="00F131F0">
        <w:rPr>
          <w:rFonts w:ascii="Arial" w:eastAsia="Calibri" w:hAnsi="Arial" w:cs="Arial"/>
        </w:rPr>
        <w:t xml:space="preserve"> (Dalla </w:t>
      </w:r>
      <w:proofErr w:type="spellStart"/>
      <w:r w:rsidR="00F131F0">
        <w:rPr>
          <w:rFonts w:ascii="Arial" w:eastAsia="Calibri" w:hAnsi="Arial" w:cs="Arial"/>
        </w:rPr>
        <w:t>Via</w:t>
      </w:r>
      <w:proofErr w:type="spellEnd"/>
      <w:r w:rsidR="00F131F0">
        <w:rPr>
          <w:rFonts w:ascii="Arial" w:eastAsia="Calibri" w:hAnsi="Arial" w:cs="Arial"/>
        </w:rPr>
        <w:t>, 2011)</w:t>
      </w:r>
      <w:r w:rsidR="00A36BFD" w:rsidRPr="00032D45">
        <w:rPr>
          <w:rFonts w:ascii="Arial" w:eastAsia="Calibri" w:hAnsi="Arial" w:cs="Arial"/>
        </w:rPr>
        <w:t>.</w:t>
      </w:r>
    </w:p>
    <w:p w:rsidR="000C533F" w:rsidRPr="00032D45" w:rsidRDefault="000C533F" w:rsidP="00CC01B7">
      <w:pPr>
        <w:spacing w:after="0"/>
        <w:ind w:firstLine="708"/>
        <w:rPr>
          <w:rFonts w:ascii="Arial" w:eastAsia="Calibri" w:hAnsi="Arial" w:cs="Arial"/>
        </w:rPr>
      </w:pPr>
    </w:p>
    <w:p w:rsidR="009F2C69" w:rsidRPr="00032D45" w:rsidRDefault="000C533F" w:rsidP="00CC01B7">
      <w:pPr>
        <w:spacing w:after="0"/>
        <w:rPr>
          <w:rFonts w:ascii="Arial" w:eastAsia="Calibri" w:hAnsi="Arial" w:cs="Arial"/>
          <w:b/>
        </w:rPr>
      </w:pPr>
      <w:r w:rsidRPr="00032D45">
        <w:rPr>
          <w:rFonts w:ascii="Arial" w:eastAsia="Calibri" w:hAnsi="Arial" w:cs="Arial"/>
        </w:rPr>
        <w:t>Por todo lo anteriormente expuesto, entendemos que esta línea jurisprudencial abierta con la sentencia YATAMA</w:t>
      </w:r>
      <w:r w:rsidR="00FD57F6" w:rsidRPr="00032D45">
        <w:rPr>
          <w:rFonts w:ascii="Arial" w:eastAsia="Calibri" w:hAnsi="Arial" w:cs="Arial"/>
        </w:rPr>
        <w:t>,</w:t>
      </w:r>
      <w:r w:rsidRPr="00032D45">
        <w:rPr>
          <w:rFonts w:ascii="Arial" w:eastAsia="Calibri" w:hAnsi="Arial" w:cs="Arial"/>
        </w:rPr>
        <w:t xml:space="preserve"> y reiterada en las resoluciones dictadas a posteriori</w:t>
      </w:r>
      <w:r w:rsidR="00FD57F6" w:rsidRPr="00032D45">
        <w:rPr>
          <w:rFonts w:ascii="Arial" w:eastAsia="Calibri" w:hAnsi="Arial" w:cs="Arial"/>
        </w:rPr>
        <w:t>,</w:t>
      </w:r>
      <w:r w:rsidRPr="00032D45">
        <w:rPr>
          <w:rFonts w:ascii="Arial" w:eastAsia="Calibri" w:hAnsi="Arial" w:cs="Arial"/>
        </w:rPr>
        <w:t xml:space="preserve"> deja abierta la vía para que, llegado el caso, la Corte Interamericana de Derechos Humanos,</w:t>
      </w:r>
      <w:r w:rsidR="003B131D" w:rsidRPr="00032D45">
        <w:rPr>
          <w:rFonts w:ascii="Arial" w:eastAsia="Calibri" w:hAnsi="Arial" w:cs="Arial"/>
        </w:rPr>
        <w:t xml:space="preserve"> </w:t>
      </w:r>
      <w:r w:rsidRPr="00032D45">
        <w:rPr>
          <w:rFonts w:ascii="Arial" w:eastAsia="Calibri" w:hAnsi="Arial" w:cs="Arial"/>
        </w:rPr>
        <w:t>en consonancia con los artículos recogidos en la Convención de Naciones Unidas sobre los Derechos de las Personas con Discapacidad, de 2006, confirme y corrobore que las personas con discapacidad en el continente americano deben gozar de forma efectiva, y sin restricciones, del derecho de participación política, sin discriminación, y en igualdad de condiciones que las personas sin discapacidad.</w:t>
      </w:r>
    </w:p>
    <w:p w:rsidR="009F2C69" w:rsidRPr="00032D45" w:rsidRDefault="009F2C69" w:rsidP="00CC01B7">
      <w:pPr>
        <w:spacing w:after="0"/>
        <w:rPr>
          <w:rFonts w:ascii="Arial" w:eastAsia="Calibri" w:hAnsi="Arial" w:cs="Arial"/>
          <w:b/>
        </w:rPr>
      </w:pPr>
    </w:p>
    <w:p w:rsidR="000C533F" w:rsidRPr="00032D45" w:rsidRDefault="000C533F" w:rsidP="00CC01B7">
      <w:pPr>
        <w:spacing w:after="0"/>
        <w:rPr>
          <w:rFonts w:ascii="Arial" w:eastAsia="Calibri" w:hAnsi="Arial" w:cs="Arial"/>
          <w:b/>
        </w:rPr>
      </w:pPr>
      <w:r w:rsidRPr="00032D45">
        <w:rPr>
          <w:rFonts w:ascii="Arial" w:hAnsi="Arial" w:cs="Arial"/>
          <w:b/>
        </w:rPr>
        <w:t xml:space="preserve">3. </w:t>
      </w:r>
      <w:r w:rsidR="001C1130" w:rsidRPr="00032D45">
        <w:rPr>
          <w:rFonts w:ascii="Arial" w:hAnsi="Arial" w:cs="Arial"/>
          <w:b/>
        </w:rPr>
        <w:t>EL COMITÉ DE NACIONES UNIDAS SOBRE LOS DERECHOS DE LAS PERSONAS CON DISCAPACIDAD Y LOS DERECHOS DE PARTICIPACIÓN POLÍTICA. EL EXAMEN A ESPAÑA.</w:t>
      </w:r>
    </w:p>
    <w:p w:rsidR="000C533F" w:rsidRPr="00032D45" w:rsidRDefault="000C533F" w:rsidP="00CC01B7">
      <w:pPr>
        <w:spacing w:after="0"/>
        <w:ind w:firstLine="708"/>
        <w:rPr>
          <w:rFonts w:ascii="Arial" w:hAnsi="Arial" w:cs="Arial"/>
          <w:b/>
        </w:rPr>
      </w:pPr>
    </w:p>
    <w:p w:rsidR="000C533F" w:rsidRPr="00032D45" w:rsidRDefault="000C533F" w:rsidP="00CC01B7">
      <w:pPr>
        <w:pStyle w:val="NormalWeb"/>
        <w:spacing w:before="0" w:beforeAutospacing="0" w:after="0" w:afterAutospacing="0" w:line="276" w:lineRule="auto"/>
        <w:rPr>
          <w:rFonts w:ascii="Arial" w:hAnsi="Arial" w:cs="Arial"/>
          <w:sz w:val="22"/>
          <w:szCs w:val="22"/>
        </w:rPr>
      </w:pPr>
      <w:r w:rsidRPr="00032D45">
        <w:rPr>
          <w:rFonts w:ascii="Arial" w:hAnsi="Arial" w:cs="Arial"/>
          <w:sz w:val="22"/>
          <w:szCs w:val="22"/>
        </w:rPr>
        <w:lastRenderedPageBreak/>
        <w:t xml:space="preserve">Un panorama completo y comprehensivo del derecho de voto de las personas con discapacidad obliga a abordar en este epígrafe el papel desarrollado por la instancia internacional que controla el cumplimiento de la Convención sobre los Derechos de las Personas con Discapacidad (CDPD), el Comité sobre los </w:t>
      </w:r>
      <w:r w:rsidR="00A45D6C" w:rsidRPr="00032D45">
        <w:rPr>
          <w:rFonts w:ascii="Arial" w:hAnsi="Arial" w:cs="Arial"/>
          <w:sz w:val="22"/>
          <w:szCs w:val="22"/>
        </w:rPr>
        <w:t>D</w:t>
      </w:r>
      <w:r w:rsidRPr="00032D45">
        <w:rPr>
          <w:rFonts w:ascii="Arial" w:hAnsi="Arial" w:cs="Arial"/>
          <w:sz w:val="22"/>
          <w:szCs w:val="22"/>
        </w:rPr>
        <w:t xml:space="preserve">erechos de las </w:t>
      </w:r>
      <w:r w:rsidR="00A45D6C" w:rsidRPr="00032D45">
        <w:rPr>
          <w:rFonts w:ascii="Arial" w:hAnsi="Arial" w:cs="Arial"/>
          <w:sz w:val="22"/>
          <w:szCs w:val="22"/>
        </w:rPr>
        <w:t>P</w:t>
      </w:r>
      <w:r w:rsidRPr="00032D45">
        <w:rPr>
          <w:rFonts w:ascii="Arial" w:hAnsi="Arial" w:cs="Arial"/>
          <w:sz w:val="22"/>
          <w:szCs w:val="22"/>
        </w:rPr>
        <w:t xml:space="preserve">ersonas con </w:t>
      </w:r>
      <w:r w:rsidR="00A45D6C" w:rsidRPr="00032D45">
        <w:rPr>
          <w:rFonts w:ascii="Arial" w:hAnsi="Arial" w:cs="Arial"/>
          <w:sz w:val="22"/>
          <w:szCs w:val="22"/>
        </w:rPr>
        <w:t>D</w:t>
      </w:r>
      <w:r w:rsidRPr="00032D45">
        <w:rPr>
          <w:rFonts w:ascii="Arial" w:hAnsi="Arial" w:cs="Arial"/>
          <w:sz w:val="22"/>
          <w:szCs w:val="22"/>
        </w:rPr>
        <w:t>iscapacidad.</w:t>
      </w:r>
    </w:p>
    <w:p w:rsidR="00D7387F" w:rsidRPr="00032D45" w:rsidRDefault="00D7387F" w:rsidP="00CC01B7">
      <w:pPr>
        <w:pStyle w:val="NormalWeb"/>
        <w:spacing w:before="0" w:beforeAutospacing="0" w:after="0" w:afterAutospacing="0" w:line="276" w:lineRule="auto"/>
        <w:rPr>
          <w:rFonts w:ascii="Arial" w:hAnsi="Arial" w:cs="Arial"/>
          <w:sz w:val="22"/>
          <w:szCs w:val="22"/>
        </w:rPr>
      </w:pPr>
    </w:p>
    <w:p w:rsidR="00D7387F" w:rsidRPr="00032D45" w:rsidRDefault="004B0210" w:rsidP="00CC01B7">
      <w:pPr>
        <w:pStyle w:val="NormalWeb"/>
        <w:spacing w:before="0" w:beforeAutospacing="0" w:after="0" w:afterAutospacing="0" w:line="276" w:lineRule="auto"/>
        <w:rPr>
          <w:rFonts w:ascii="Arial" w:hAnsi="Arial" w:cs="Arial"/>
          <w:sz w:val="22"/>
          <w:szCs w:val="22"/>
        </w:rPr>
      </w:pPr>
      <w:r w:rsidRPr="00032D45">
        <w:rPr>
          <w:rFonts w:ascii="Arial" w:hAnsi="Arial" w:cs="Arial"/>
          <w:sz w:val="22"/>
          <w:szCs w:val="22"/>
        </w:rPr>
        <w:t>En primer lugar, debemos incidir en la relevancia de la Observación General elaborada por e</w:t>
      </w:r>
      <w:r w:rsidR="00A45D6C" w:rsidRPr="00032D45">
        <w:rPr>
          <w:rFonts w:ascii="Arial" w:hAnsi="Arial" w:cs="Arial"/>
          <w:sz w:val="22"/>
          <w:szCs w:val="22"/>
        </w:rPr>
        <w:t xml:space="preserve">ste </w:t>
      </w:r>
      <w:r w:rsidRPr="00032D45">
        <w:rPr>
          <w:rFonts w:ascii="Arial" w:hAnsi="Arial" w:cs="Arial"/>
          <w:sz w:val="22"/>
          <w:szCs w:val="22"/>
        </w:rPr>
        <w:t xml:space="preserve">Comité, </w:t>
      </w:r>
      <w:r w:rsidR="00A45D6C" w:rsidRPr="00032D45">
        <w:rPr>
          <w:rFonts w:ascii="Arial" w:hAnsi="Arial" w:cs="Arial"/>
          <w:sz w:val="22"/>
          <w:szCs w:val="22"/>
        </w:rPr>
        <w:t>en fecha</w:t>
      </w:r>
      <w:r w:rsidRPr="00032D45">
        <w:rPr>
          <w:rFonts w:ascii="Arial" w:hAnsi="Arial" w:cs="Arial"/>
          <w:sz w:val="22"/>
          <w:szCs w:val="22"/>
        </w:rPr>
        <w:t xml:space="preserve"> </w:t>
      </w:r>
      <w:r w:rsidR="00A45D6C" w:rsidRPr="00032D45">
        <w:rPr>
          <w:rFonts w:ascii="Arial" w:hAnsi="Arial" w:cs="Arial"/>
          <w:sz w:val="22"/>
          <w:szCs w:val="22"/>
        </w:rPr>
        <w:t xml:space="preserve">de </w:t>
      </w:r>
      <w:r w:rsidRPr="00032D45">
        <w:rPr>
          <w:rFonts w:ascii="Arial" w:hAnsi="Arial" w:cs="Arial"/>
          <w:sz w:val="22"/>
          <w:szCs w:val="22"/>
        </w:rPr>
        <w:t>25 de noviembre de 2013</w:t>
      </w:r>
      <w:r w:rsidRPr="00032D45">
        <w:rPr>
          <w:rStyle w:val="Refdenotaalpie"/>
          <w:rFonts w:ascii="Arial" w:hAnsi="Arial" w:cs="Arial"/>
          <w:sz w:val="22"/>
          <w:szCs w:val="22"/>
        </w:rPr>
        <w:footnoteReference w:id="31"/>
      </w:r>
      <w:r w:rsidRPr="00032D45">
        <w:rPr>
          <w:rFonts w:ascii="Arial" w:hAnsi="Arial" w:cs="Arial"/>
          <w:sz w:val="22"/>
          <w:szCs w:val="22"/>
        </w:rPr>
        <w:t xml:space="preserve">, que interpreta y desarrolla el concepto de </w:t>
      </w:r>
      <w:r w:rsidR="00A8239D" w:rsidRPr="00032D45">
        <w:rPr>
          <w:rFonts w:ascii="Arial" w:hAnsi="Arial" w:cs="Arial"/>
          <w:sz w:val="22"/>
          <w:szCs w:val="22"/>
        </w:rPr>
        <w:t>“</w:t>
      </w:r>
      <w:r w:rsidRPr="00032D45">
        <w:rPr>
          <w:rFonts w:ascii="Arial" w:hAnsi="Arial" w:cs="Arial"/>
          <w:sz w:val="22"/>
          <w:szCs w:val="22"/>
        </w:rPr>
        <w:t>capacidad jurídica</w:t>
      </w:r>
      <w:r w:rsidR="00A8239D" w:rsidRPr="00032D45">
        <w:rPr>
          <w:rFonts w:ascii="Arial" w:hAnsi="Arial" w:cs="Arial"/>
          <w:sz w:val="22"/>
          <w:szCs w:val="22"/>
        </w:rPr>
        <w:t>”</w:t>
      </w:r>
      <w:r w:rsidRPr="00032D45">
        <w:rPr>
          <w:rFonts w:ascii="Arial" w:hAnsi="Arial" w:cs="Arial"/>
          <w:sz w:val="22"/>
          <w:szCs w:val="22"/>
        </w:rPr>
        <w:t>, aplicada a las personas con discapacidad</w:t>
      </w:r>
      <w:r w:rsidR="009F14BA" w:rsidRPr="00032D45">
        <w:rPr>
          <w:rFonts w:ascii="Arial" w:hAnsi="Arial" w:cs="Arial"/>
          <w:sz w:val="22"/>
          <w:szCs w:val="22"/>
        </w:rPr>
        <w:t>,</w:t>
      </w:r>
      <w:r w:rsidRPr="00032D45">
        <w:rPr>
          <w:rFonts w:ascii="Arial" w:hAnsi="Arial" w:cs="Arial"/>
          <w:sz w:val="22"/>
          <w:szCs w:val="22"/>
        </w:rPr>
        <w:t xml:space="preserve"> y el derecho de participación política del artículo 29 CDPD. Al abordar el derecho de participación política, la Observación General dispone:</w:t>
      </w:r>
    </w:p>
    <w:p w:rsidR="004B0210" w:rsidRPr="00032D45" w:rsidRDefault="004B0210" w:rsidP="00CC01B7">
      <w:pPr>
        <w:pStyle w:val="NormalWeb"/>
        <w:spacing w:before="0" w:beforeAutospacing="0" w:after="0" w:afterAutospacing="0" w:line="276" w:lineRule="auto"/>
        <w:rPr>
          <w:rFonts w:ascii="Arial" w:hAnsi="Arial" w:cs="Arial"/>
          <w:sz w:val="22"/>
          <w:szCs w:val="22"/>
        </w:rPr>
      </w:pPr>
    </w:p>
    <w:p w:rsidR="004B0210" w:rsidRPr="00032D45" w:rsidRDefault="004B0210" w:rsidP="00CC01B7">
      <w:pPr>
        <w:pStyle w:val="NormalWeb"/>
        <w:spacing w:before="0" w:beforeAutospacing="0" w:after="0" w:afterAutospacing="0" w:line="276" w:lineRule="auto"/>
        <w:rPr>
          <w:rFonts w:ascii="Arial" w:hAnsi="Arial" w:cs="Arial"/>
          <w:i/>
          <w:sz w:val="22"/>
          <w:szCs w:val="22"/>
        </w:rPr>
      </w:pPr>
      <w:r w:rsidRPr="00032D45">
        <w:rPr>
          <w:rFonts w:ascii="Arial" w:hAnsi="Arial" w:cs="Arial"/>
          <w:sz w:val="22"/>
          <w:szCs w:val="22"/>
        </w:rPr>
        <w:tab/>
      </w:r>
      <w:r w:rsidRPr="00032D45">
        <w:rPr>
          <w:rFonts w:ascii="Arial" w:hAnsi="Arial" w:cs="Arial"/>
          <w:i/>
          <w:sz w:val="22"/>
          <w:szCs w:val="22"/>
        </w:rPr>
        <w:t>[…] Para hacer plenamente efectivo el reconocimiento de la capacidad jurídica en igualdad de condiciones en todos los aspectos de la vida, es importante que se reconozca la capacidad jurídica de las personas con discapacidad en la vida pública y política (art. 29). Esto significa que la capacidad que tenga una persona de adoptar decisiones no puede justificar que se excluya a las personas con discapacidad de ejercer sus derechos políticos, incluidos el derecho de voto […]. Los Estados tienen la obligación de proteger y promover el derecho de las personas con discapacidad a acceder al apoyo de su elección para emitir su voto en secreto y participar sin discriminación en todas las elecciones y referendos […].</w:t>
      </w:r>
    </w:p>
    <w:p w:rsidR="000C533F" w:rsidRPr="00032D45" w:rsidRDefault="000C533F" w:rsidP="00CC01B7">
      <w:pPr>
        <w:pStyle w:val="NormalWeb"/>
        <w:spacing w:before="0" w:beforeAutospacing="0" w:after="0" w:afterAutospacing="0" w:line="276" w:lineRule="auto"/>
        <w:rPr>
          <w:rFonts w:ascii="Arial" w:hAnsi="Arial" w:cs="Arial"/>
          <w:sz w:val="22"/>
          <w:szCs w:val="22"/>
        </w:rPr>
      </w:pPr>
    </w:p>
    <w:p w:rsidR="000C533F" w:rsidRPr="00032D45" w:rsidRDefault="004B0210" w:rsidP="00CC01B7">
      <w:pPr>
        <w:pStyle w:val="NormalWeb"/>
        <w:spacing w:before="0" w:beforeAutospacing="0" w:after="0" w:afterAutospacing="0" w:line="276" w:lineRule="auto"/>
        <w:rPr>
          <w:rFonts w:ascii="Arial" w:hAnsi="Arial" w:cs="Arial"/>
          <w:sz w:val="22"/>
          <w:szCs w:val="22"/>
        </w:rPr>
      </w:pPr>
      <w:r w:rsidRPr="00032D45">
        <w:rPr>
          <w:rFonts w:ascii="Arial" w:hAnsi="Arial" w:cs="Arial"/>
          <w:sz w:val="22"/>
          <w:szCs w:val="22"/>
        </w:rPr>
        <w:t>Este enfoque se ha reafirmado de manera uniforme y constante en los diferentes informe</w:t>
      </w:r>
      <w:r w:rsidR="00ED7205" w:rsidRPr="00032D45">
        <w:rPr>
          <w:rFonts w:ascii="Arial" w:hAnsi="Arial" w:cs="Arial"/>
          <w:sz w:val="22"/>
          <w:szCs w:val="22"/>
        </w:rPr>
        <w:t>s</w:t>
      </w:r>
      <w:r w:rsidRPr="00032D45">
        <w:rPr>
          <w:rFonts w:ascii="Arial" w:hAnsi="Arial" w:cs="Arial"/>
          <w:sz w:val="22"/>
          <w:szCs w:val="22"/>
        </w:rPr>
        <w:t xml:space="preserve"> emitidos por el Comité en los exámenes del cumplimiento de la C</w:t>
      </w:r>
      <w:r w:rsidR="00ED7205" w:rsidRPr="00032D45">
        <w:rPr>
          <w:rFonts w:ascii="Arial" w:hAnsi="Arial" w:cs="Arial"/>
          <w:sz w:val="22"/>
          <w:szCs w:val="22"/>
        </w:rPr>
        <w:t>onvención</w:t>
      </w:r>
      <w:r w:rsidRPr="00032D45">
        <w:rPr>
          <w:rFonts w:ascii="Arial" w:hAnsi="Arial" w:cs="Arial"/>
          <w:sz w:val="22"/>
          <w:szCs w:val="22"/>
        </w:rPr>
        <w:t xml:space="preserve"> que ha realizado a diversos Estados partes</w:t>
      </w:r>
      <w:r w:rsidR="00CB3DB8" w:rsidRPr="00032D45">
        <w:rPr>
          <w:rStyle w:val="Refdenotaalpie"/>
          <w:rFonts w:ascii="Arial" w:hAnsi="Arial" w:cs="Arial"/>
          <w:sz w:val="22"/>
          <w:szCs w:val="22"/>
        </w:rPr>
        <w:footnoteReference w:id="32"/>
      </w:r>
      <w:r w:rsidRPr="00032D45">
        <w:rPr>
          <w:rFonts w:ascii="Arial" w:hAnsi="Arial" w:cs="Arial"/>
          <w:sz w:val="22"/>
          <w:szCs w:val="22"/>
        </w:rPr>
        <w:t xml:space="preserve">. </w:t>
      </w:r>
      <w:r w:rsidR="00B737F4">
        <w:rPr>
          <w:rFonts w:ascii="Arial" w:hAnsi="Arial" w:cs="Arial"/>
          <w:sz w:val="22"/>
          <w:szCs w:val="22"/>
        </w:rPr>
        <w:t>E</w:t>
      </w:r>
      <w:r w:rsidR="006229BD" w:rsidRPr="00032D45">
        <w:rPr>
          <w:rFonts w:ascii="Arial" w:hAnsi="Arial" w:cs="Arial"/>
          <w:sz w:val="22"/>
          <w:szCs w:val="22"/>
        </w:rPr>
        <w:t xml:space="preserve">n lo que concierne al </w:t>
      </w:r>
      <w:r w:rsidR="00BB2DF9" w:rsidRPr="00032D45">
        <w:rPr>
          <w:rFonts w:ascii="Arial" w:hAnsi="Arial" w:cs="Arial"/>
          <w:sz w:val="22"/>
          <w:szCs w:val="22"/>
        </w:rPr>
        <w:t xml:space="preserve">examen </w:t>
      </w:r>
      <w:r w:rsidR="006229BD" w:rsidRPr="00032D45">
        <w:rPr>
          <w:rFonts w:ascii="Arial" w:hAnsi="Arial" w:cs="Arial"/>
          <w:sz w:val="22"/>
          <w:szCs w:val="22"/>
        </w:rPr>
        <w:t xml:space="preserve">que el CDPD efectuó </w:t>
      </w:r>
      <w:r w:rsidR="00BB2DF9" w:rsidRPr="00032D45">
        <w:rPr>
          <w:rFonts w:ascii="Arial" w:hAnsi="Arial" w:cs="Arial"/>
          <w:sz w:val="22"/>
          <w:szCs w:val="22"/>
        </w:rPr>
        <w:t xml:space="preserve">al Reino de España </w:t>
      </w:r>
      <w:r w:rsidR="000C533F" w:rsidRPr="00032D45">
        <w:rPr>
          <w:rFonts w:ascii="Arial" w:hAnsi="Arial" w:cs="Arial"/>
          <w:sz w:val="22"/>
          <w:szCs w:val="22"/>
        </w:rPr>
        <w:t>en 2011</w:t>
      </w:r>
      <w:r w:rsidR="000C533F" w:rsidRPr="00032D45">
        <w:rPr>
          <w:rStyle w:val="Refdenotaalpie"/>
          <w:rFonts w:ascii="Arial" w:hAnsi="Arial" w:cs="Arial"/>
          <w:sz w:val="22"/>
          <w:szCs w:val="22"/>
        </w:rPr>
        <w:footnoteReference w:id="33"/>
      </w:r>
      <w:r w:rsidR="003C698B" w:rsidRPr="00032D45">
        <w:rPr>
          <w:rFonts w:ascii="Arial" w:hAnsi="Arial" w:cs="Arial"/>
          <w:sz w:val="22"/>
          <w:szCs w:val="22"/>
        </w:rPr>
        <w:t xml:space="preserve">, </w:t>
      </w:r>
      <w:r w:rsidR="000C533F" w:rsidRPr="00032D45">
        <w:rPr>
          <w:rFonts w:ascii="Arial" w:hAnsi="Arial" w:cs="Arial"/>
          <w:sz w:val="22"/>
          <w:szCs w:val="22"/>
        </w:rPr>
        <w:t>en relación al artículo 29 de la C</w:t>
      </w:r>
      <w:r w:rsidR="006229BD" w:rsidRPr="00032D45">
        <w:rPr>
          <w:rFonts w:ascii="Arial" w:hAnsi="Arial" w:cs="Arial"/>
          <w:sz w:val="22"/>
          <w:szCs w:val="22"/>
        </w:rPr>
        <w:t>onvención</w:t>
      </w:r>
      <w:r w:rsidR="000C533F" w:rsidRPr="00032D45">
        <w:rPr>
          <w:rFonts w:ascii="Arial" w:hAnsi="Arial" w:cs="Arial"/>
          <w:sz w:val="22"/>
          <w:szCs w:val="22"/>
        </w:rPr>
        <w:t>, el C</w:t>
      </w:r>
      <w:r w:rsidR="006229BD" w:rsidRPr="00032D45">
        <w:rPr>
          <w:rFonts w:ascii="Arial" w:hAnsi="Arial" w:cs="Arial"/>
          <w:sz w:val="22"/>
          <w:szCs w:val="22"/>
        </w:rPr>
        <w:t>omité</w:t>
      </w:r>
      <w:r w:rsidR="000C533F" w:rsidRPr="00032D45">
        <w:rPr>
          <w:rFonts w:ascii="Arial" w:hAnsi="Arial" w:cs="Arial"/>
          <w:sz w:val="22"/>
          <w:szCs w:val="22"/>
        </w:rPr>
        <w:t xml:space="preserve"> expresó su preocupación por la posibilidad de que se restringiera el derecho al voto de las personas con discapacidad intelectual o psicosocial en el caso de que la persona haya sido privada de su capacidad jurídica o internada en una institución, lo que además era la regla y no la excepción. </w:t>
      </w:r>
    </w:p>
    <w:p w:rsidR="000C533F" w:rsidRPr="00032D45" w:rsidRDefault="000C533F" w:rsidP="00CC01B7">
      <w:pPr>
        <w:pStyle w:val="NormalWeb"/>
        <w:spacing w:before="0" w:beforeAutospacing="0" w:after="0" w:afterAutospacing="0" w:line="276" w:lineRule="auto"/>
        <w:ind w:firstLine="708"/>
        <w:rPr>
          <w:rFonts w:ascii="Arial" w:hAnsi="Arial" w:cs="Arial"/>
          <w:sz w:val="22"/>
          <w:szCs w:val="22"/>
        </w:rPr>
      </w:pPr>
    </w:p>
    <w:p w:rsidR="00C34604" w:rsidRPr="00032D45" w:rsidRDefault="000C533F" w:rsidP="00CC01B7">
      <w:pPr>
        <w:pStyle w:val="NormalWeb"/>
        <w:spacing w:before="0" w:beforeAutospacing="0" w:after="0" w:afterAutospacing="0" w:line="276" w:lineRule="auto"/>
        <w:rPr>
          <w:rFonts w:ascii="Arial" w:hAnsi="Arial" w:cs="Arial"/>
          <w:sz w:val="22"/>
          <w:szCs w:val="22"/>
        </w:rPr>
      </w:pPr>
      <w:r w:rsidRPr="00032D45">
        <w:rPr>
          <w:rFonts w:ascii="Arial" w:hAnsi="Arial" w:cs="Arial"/>
          <w:sz w:val="22"/>
          <w:szCs w:val="22"/>
        </w:rPr>
        <w:t>Asimismo, con el fin de que todas las personas con discapacidad tengan derecho a votar y puedan participar en la vida pública en pie de igualdad con los demás, el Comité de la ONU recomendó a las autoridades españolas que revisaran toda la legislación pertinente, y en concreto se pedía al Estado Español que modificara el artículo 3 de la Ley Orgánica 5/1985, de Régimen Electoral General</w:t>
      </w:r>
      <w:r w:rsidR="00C34604" w:rsidRPr="00032D45">
        <w:rPr>
          <w:rFonts w:ascii="Arial" w:hAnsi="Arial" w:cs="Arial"/>
          <w:sz w:val="22"/>
          <w:szCs w:val="22"/>
        </w:rPr>
        <w:t>:</w:t>
      </w:r>
    </w:p>
    <w:p w:rsidR="00C34604" w:rsidRPr="00032D45" w:rsidRDefault="00C34604" w:rsidP="00CC01B7">
      <w:pPr>
        <w:pStyle w:val="NormalWeb"/>
        <w:spacing w:before="0" w:beforeAutospacing="0" w:after="0" w:afterAutospacing="0" w:line="276" w:lineRule="auto"/>
        <w:ind w:firstLine="708"/>
        <w:rPr>
          <w:rFonts w:ascii="Arial" w:hAnsi="Arial" w:cs="Arial"/>
          <w:sz w:val="22"/>
          <w:szCs w:val="22"/>
        </w:rPr>
      </w:pPr>
    </w:p>
    <w:p w:rsidR="000C533F" w:rsidRPr="00032D45" w:rsidRDefault="00C34604" w:rsidP="00CC01B7">
      <w:pPr>
        <w:pStyle w:val="NormalWeb"/>
        <w:spacing w:before="0" w:beforeAutospacing="0" w:after="0" w:afterAutospacing="0" w:line="276" w:lineRule="auto"/>
        <w:ind w:left="708"/>
        <w:rPr>
          <w:rFonts w:ascii="Arial" w:hAnsi="Arial" w:cs="Arial"/>
          <w:b/>
          <w:i/>
          <w:sz w:val="22"/>
          <w:szCs w:val="22"/>
        </w:rPr>
      </w:pPr>
      <w:r w:rsidRPr="00032D45">
        <w:rPr>
          <w:rFonts w:ascii="Arial" w:hAnsi="Arial" w:cs="Arial"/>
          <w:i/>
          <w:sz w:val="22"/>
          <w:szCs w:val="22"/>
        </w:rPr>
        <w:t>“48.</w:t>
      </w:r>
      <w:r w:rsidRPr="00032D45">
        <w:rPr>
          <w:rFonts w:ascii="Arial" w:hAnsi="Arial" w:cs="Arial"/>
          <w:i/>
          <w:sz w:val="22"/>
          <w:szCs w:val="22"/>
        </w:rPr>
        <w:tab/>
        <w:t xml:space="preserve">El Comité recomienda que se revise toda la legislación pertinente para que todas las personas con discapacidad, independientemente de su deficiencia, de su condición jurídica o de su lugar de residencia, tengan </w:t>
      </w:r>
      <w:r w:rsidRPr="00032D45">
        <w:rPr>
          <w:rFonts w:ascii="Arial" w:hAnsi="Arial" w:cs="Arial"/>
          <w:i/>
          <w:sz w:val="22"/>
          <w:szCs w:val="22"/>
        </w:rPr>
        <w:lastRenderedPageBreak/>
        <w:t>derecho a votar y a participar en la vida pública en pie de igualdad con los demás. El Comité pide al Estado parte que modifique el artículo 3 de la Ley orgánica Nº 5/1985, que autoriza a los jueces a denegar el derecho de voto en virtud de decisiones adoptadas en cada caso particular. La modificación debe hacer que todas las personas con discapacidad tengan derecho a votar.”</w:t>
      </w:r>
      <w:r w:rsidR="000C533F" w:rsidRPr="00032D45">
        <w:rPr>
          <w:rStyle w:val="Refdenotaalpie"/>
          <w:rFonts w:ascii="Arial" w:hAnsi="Arial" w:cs="Arial"/>
          <w:sz w:val="22"/>
          <w:szCs w:val="22"/>
        </w:rPr>
        <w:footnoteReference w:id="34"/>
      </w:r>
      <w:r w:rsidR="00CD6D34" w:rsidRPr="00032D45">
        <w:rPr>
          <w:rStyle w:val="Refdenotaalpie"/>
          <w:rFonts w:ascii="Arial" w:hAnsi="Arial" w:cs="Arial"/>
          <w:i/>
          <w:sz w:val="22"/>
          <w:szCs w:val="22"/>
        </w:rPr>
        <w:footnoteReference w:id="35"/>
      </w:r>
    </w:p>
    <w:p w:rsidR="00BB2DF9" w:rsidRPr="00032D45" w:rsidRDefault="00BB2DF9" w:rsidP="00CC01B7">
      <w:pPr>
        <w:pStyle w:val="NormalWeb"/>
        <w:spacing w:before="0" w:beforeAutospacing="0" w:after="0" w:afterAutospacing="0" w:line="276" w:lineRule="auto"/>
        <w:ind w:firstLine="708"/>
        <w:rPr>
          <w:rFonts w:ascii="Arial" w:hAnsi="Arial" w:cs="Arial"/>
          <w:sz w:val="22"/>
          <w:szCs w:val="22"/>
        </w:rPr>
      </w:pPr>
    </w:p>
    <w:p w:rsidR="009F2C69" w:rsidRPr="00032D45" w:rsidRDefault="003C698B" w:rsidP="00CC01B7">
      <w:pPr>
        <w:pStyle w:val="NormalWeb"/>
        <w:spacing w:before="0" w:beforeAutospacing="0" w:after="0" w:afterAutospacing="0" w:line="276" w:lineRule="auto"/>
        <w:rPr>
          <w:rFonts w:ascii="Arial" w:hAnsi="Arial" w:cs="Arial"/>
          <w:sz w:val="22"/>
          <w:szCs w:val="22"/>
        </w:rPr>
      </w:pPr>
      <w:r w:rsidRPr="00032D45">
        <w:rPr>
          <w:rFonts w:ascii="Arial" w:hAnsi="Arial" w:cs="Arial"/>
          <w:sz w:val="22"/>
          <w:szCs w:val="22"/>
        </w:rPr>
        <w:t xml:space="preserve">Consecuencia de ello, se deduce fácilmente que </w:t>
      </w:r>
      <w:r w:rsidR="000C533F" w:rsidRPr="00032D45">
        <w:rPr>
          <w:rFonts w:ascii="Arial" w:hAnsi="Arial" w:cs="Arial"/>
          <w:sz w:val="22"/>
          <w:szCs w:val="22"/>
        </w:rPr>
        <w:t>España está obligad</w:t>
      </w:r>
      <w:r w:rsidR="000342C0" w:rsidRPr="00032D45">
        <w:rPr>
          <w:rFonts w:ascii="Arial" w:hAnsi="Arial" w:cs="Arial"/>
          <w:sz w:val="22"/>
          <w:szCs w:val="22"/>
        </w:rPr>
        <w:t>a</w:t>
      </w:r>
      <w:r w:rsidR="000C533F" w:rsidRPr="00032D45">
        <w:rPr>
          <w:rFonts w:ascii="Arial" w:hAnsi="Arial" w:cs="Arial"/>
          <w:sz w:val="22"/>
          <w:szCs w:val="22"/>
        </w:rPr>
        <w:t xml:space="preserve"> jurídicamente a garantizar que todas las personas con discapacidad (ya tengan una discapacidad física, psíquica, intelectual o sensorial, ya se encuentren institucionalizadas o no) puedan ejercitar de forma efectiva el derecho al voto y el derecho a presentarse como candidatos en las elecciones, debiendo adoptar las medidas necesa</w:t>
      </w:r>
      <w:r w:rsidR="00BB2DF9" w:rsidRPr="00032D45">
        <w:rPr>
          <w:rFonts w:ascii="Arial" w:hAnsi="Arial" w:cs="Arial"/>
          <w:sz w:val="22"/>
          <w:szCs w:val="22"/>
        </w:rPr>
        <w:t xml:space="preserve">rias para hacer efectivos estos </w:t>
      </w:r>
      <w:r w:rsidR="000C533F" w:rsidRPr="00032D45">
        <w:rPr>
          <w:rFonts w:ascii="Arial" w:hAnsi="Arial" w:cs="Arial"/>
          <w:sz w:val="22"/>
          <w:szCs w:val="22"/>
        </w:rPr>
        <w:t>derechos, facilitando -entre otras cuestiones- la accesibilidad, la información y la supresión de los obstáculos y barreras que aún subsisten para lograr el adecuado cumplimiento del artículo 29.</w:t>
      </w:r>
    </w:p>
    <w:p w:rsidR="00695A54" w:rsidRDefault="00695A54" w:rsidP="00CC01B7">
      <w:pPr>
        <w:spacing w:after="0"/>
        <w:rPr>
          <w:rFonts w:ascii="Arial" w:hAnsi="Arial" w:cs="Arial"/>
          <w:b/>
        </w:rPr>
      </w:pPr>
    </w:p>
    <w:p w:rsidR="00011C50" w:rsidRPr="00032D45" w:rsidRDefault="00011C50" w:rsidP="00CC01B7">
      <w:pPr>
        <w:spacing w:after="0"/>
        <w:rPr>
          <w:rFonts w:ascii="Arial" w:hAnsi="Arial" w:cs="Arial"/>
          <w:b/>
        </w:rPr>
      </w:pPr>
      <w:r w:rsidRPr="00032D45">
        <w:rPr>
          <w:rFonts w:ascii="Arial" w:hAnsi="Arial" w:cs="Arial"/>
          <w:b/>
        </w:rPr>
        <w:t>4. LA RECEPCIÓN POR PARTE DE ESPAÑA DE</w:t>
      </w:r>
      <w:r w:rsidR="00BA2C29" w:rsidRPr="00032D45">
        <w:rPr>
          <w:rFonts w:ascii="Arial" w:hAnsi="Arial" w:cs="Arial"/>
          <w:b/>
        </w:rPr>
        <w:t xml:space="preserve"> </w:t>
      </w:r>
      <w:r w:rsidRPr="00032D45">
        <w:rPr>
          <w:rFonts w:ascii="Arial" w:hAnsi="Arial" w:cs="Arial"/>
          <w:b/>
        </w:rPr>
        <w:t>L</w:t>
      </w:r>
      <w:r w:rsidR="00BA2C29" w:rsidRPr="00032D45">
        <w:rPr>
          <w:rFonts w:ascii="Arial" w:hAnsi="Arial" w:cs="Arial"/>
          <w:b/>
        </w:rPr>
        <w:t>OS</w:t>
      </w:r>
      <w:r w:rsidR="00B25E8F" w:rsidRPr="00032D45">
        <w:rPr>
          <w:rFonts w:ascii="Arial" w:hAnsi="Arial" w:cs="Arial"/>
          <w:b/>
        </w:rPr>
        <w:t xml:space="preserve"> </w:t>
      </w:r>
      <w:r w:rsidRPr="00032D45">
        <w:rPr>
          <w:rFonts w:ascii="Arial" w:hAnsi="Arial" w:cs="Arial"/>
          <w:b/>
        </w:rPr>
        <w:t>A</w:t>
      </w:r>
      <w:r w:rsidR="00B25E8F" w:rsidRPr="00032D45">
        <w:rPr>
          <w:rFonts w:ascii="Arial" w:hAnsi="Arial" w:cs="Arial"/>
          <w:b/>
        </w:rPr>
        <w:t>RTÍCULO</w:t>
      </w:r>
      <w:r w:rsidR="00BA2C29" w:rsidRPr="00032D45">
        <w:rPr>
          <w:rFonts w:ascii="Arial" w:hAnsi="Arial" w:cs="Arial"/>
          <w:b/>
        </w:rPr>
        <w:t>S</w:t>
      </w:r>
      <w:r w:rsidR="00B25E8F" w:rsidRPr="00032D45">
        <w:rPr>
          <w:rFonts w:ascii="Arial" w:hAnsi="Arial" w:cs="Arial"/>
          <w:b/>
        </w:rPr>
        <w:t xml:space="preserve"> 29 Y 12 DE LA</w:t>
      </w:r>
      <w:r w:rsidRPr="00032D45">
        <w:rPr>
          <w:rFonts w:ascii="Arial" w:hAnsi="Arial" w:cs="Arial"/>
          <w:b/>
        </w:rPr>
        <w:t xml:space="preserve"> CONVENCIÓN SOBRE LOS DERECHOS DE LAS PERSONAS CON DISCAPACIDAD. </w:t>
      </w:r>
    </w:p>
    <w:p w:rsidR="000C533F" w:rsidRPr="00032D45" w:rsidRDefault="000C533F" w:rsidP="00CC01B7">
      <w:pPr>
        <w:spacing w:after="0"/>
        <w:ind w:firstLine="708"/>
        <w:rPr>
          <w:rFonts w:ascii="Arial" w:hAnsi="Arial" w:cs="Arial"/>
          <w:b/>
        </w:rPr>
      </w:pPr>
    </w:p>
    <w:p w:rsidR="000C533F" w:rsidRPr="00032D45" w:rsidRDefault="000C533F" w:rsidP="00CC01B7">
      <w:pPr>
        <w:spacing w:after="0"/>
        <w:rPr>
          <w:rFonts w:ascii="Arial" w:hAnsi="Arial" w:cs="Arial"/>
        </w:rPr>
      </w:pPr>
      <w:r w:rsidRPr="00032D45">
        <w:rPr>
          <w:rFonts w:ascii="Arial" w:hAnsi="Arial" w:cs="Arial"/>
        </w:rPr>
        <w:t xml:space="preserve">Sentada la vigencia y exigibilidad del derecho de voto (y, en general, del derecho a la participación política) de las personas con discapacidad en el marco jurídico internacional, a continuación </w:t>
      </w:r>
      <w:r w:rsidR="003B7414" w:rsidRPr="00032D45">
        <w:rPr>
          <w:rFonts w:ascii="Arial" w:hAnsi="Arial" w:cs="Arial"/>
        </w:rPr>
        <w:t xml:space="preserve">desde una óptica internacionalista queremos </w:t>
      </w:r>
      <w:r w:rsidRPr="00032D45">
        <w:rPr>
          <w:rFonts w:ascii="Arial" w:hAnsi="Arial" w:cs="Arial"/>
        </w:rPr>
        <w:t xml:space="preserve">poner de relieve la primacía de las normas internacionales analizadas frente a las normas existentes en los diferentes ordenamientos jurídicos nacionales de los Estados, con objeto de que </w:t>
      </w:r>
      <w:r w:rsidR="00A8239D" w:rsidRPr="00032D45">
        <w:rPr>
          <w:rFonts w:ascii="Arial" w:hAnsi="Arial" w:cs="Arial"/>
        </w:rPr>
        <w:t xml:space="preserve">evidenciar que </w:t>
      </w:r>
      <w:r w:rsidRPr="00032D45">
        <w:rPr>
          <w:rFonts w:ascii="Arial" w:hAnsi="Arial" w:cs="Arial"/>
        </w:rPr>
        <w:t>la normativa interna de estos no pued</w:t>
      </w:r>
      <w:r w:rsidR="00772948">
        <w:rPr>
          <w:rFonts w:ascii="Arial" w:hAnsi="Arial" w:cs="Arial"/>
        </w:rPr>
        <w:t>e</w:t>
      </w:r>
      <w:r w:rsidRPr="00032D45">
        <w:rPr>
          <w:rFonts w:ascii="Arial" w:hAnsi="Arial" w:cs="Arial"/>
        </w:rPr>
        <w:t xml:space="preserve"> erigirse en una barrera infranqueable para el correcto cumplimiento del Derecho </w:t>
      </w:r>
      <w:r w:rsidR="00A8239D" w:rsidRPr="00032D45">
        <w:rPr>
          <w:rFonts w:ascii="Arial" w:hAnsi="Arial" w:cs="Arial"/>
        </w:rPr>
        <w:t>i</w:t>
      </w:r>
      <w:r w:rsidRPr="00032D45">
        <w:rPr>
          <w:rFonts w:ascii="Arial" w:hAnsi="Arial" w:cs="Arial"/>
        </w:rPr>
        <w:t xml:space="preserve">nternacional. </w:t>
      </w:r>
    </w:p>
    <w:p w:rsidR="000C533F" w:rsidRPr="00032D45" w:rsidRDefault="000C533F" w:rsidP="00CC01B7">
      <w:pPr>
        <w:spacing w:after="0"/>
        <w:ind w:firstLine="708"/>
        <w:rPr>
          <w:rFonts w:ascii="Arial" w:hAnsi="Arial" w:cs="Arial"/>
        </w:rPr>
      </w:pPr>
    </w:p>
    <w:p w:rsidR="00855A43" w:rsidRDefault="000C533F" w:rsidP="00CC01B7">
      <w:pPr>
        <w:spacing w:after="0"/>
        <w:rPr>
          <w:rFonts w:ascii="Arial" w:hAnsi="Arial" w:cs="Arial"/>
        </w:rPr>
      </w:pPr>
      <w:r w:rsidRPr="00032D45">
        <w:rPr>
          <w:rFonts w:ascii="Arial" w:hAnsi="Arial" w:cs="Arial"/>
        </w:rPr>
        <w:t xml:space="preserve">Esta primacía del Derecho Internacional frente a los ordenamientos jurídicos internos deriva de convenios internacionales aceptados de forma cuasi unánime por los Estados, como el </w:t>
      </w:r>
      <w:r w:rsidRPr="00032D45">
        <w:rPr>
          <w:rFonts w:ascii="Arial" w:hAnsi="Arial" w:cs="Arial"/>
          <w:i/>
        </w:rPr>
        <w:t>artículo 26 de la Convención de Viena sobre Derecho de los Tratados, de 23 de mayo de 1969</w:t>
      </w:r>
      <w:r w:rsidRPr="00032D45">
        <w:rPr>
          <w:rFonts w:ascii="Arial" w:hAnsi="Arial" w:cs="Arial"/>
        </w:rPr>
        <w:t>, que destaca el alcance del principio “</w:t>
      </w:r>
      <w:r w:rsidRPr="00032D45">
        <w:rPr>
          <w:rFonts w:ascii="Arial" w:hAnsi="Arial" w:cs="Arial"/>
          <w:i/>
        </w:rPr>
        <w:t xml:space="preserve">Pacta </w:t>
      </w:r>
      <w:proofErr w:type="spellStart"/>
      <w:r w:rsidRPr="00032D45">
        <w:rPr>
          <w:rFonts w:ascii="Arial" w:hAnsi="Arial" w:cs="Arial"/>
          <w:i/>
        </w:rPr>
        <w:t>sunt</w:t>
      </w:r>
      <w:proofErr w:type="spellEnd"/>
      <w:r w:rsidRPr="00032D45">
        <w:rPr>
          <w:rFonts w:ascii="Arial" w:hAnsi="Arial" w:cs="Arial"/>
          <w:i/>
        </w:rPr>
        <w:t xml:space="preserve"> </w:t>
      </w:r>
      <w:proofErr w:type="spellStart"/>
      <w:r w:rsidRPr="00032D45">
        <w:rPr>
          <w:rFonts w:ascii="Arial" w:hAnsi="Arial" w:cs="Arial"/>
          <w:i/>
        </w:rPr>
        <w:t>servanda</w:t>
      </w:r>
      <w:proofErr w:type="spellEnd"/>
      <w:r w:rsidRPr="00032D45">
        <w:rPr>
          <w:rFonts w:ascii="Arial" w:hAnsi="Arial" w:cs="Arial"/>
        </w:rPr>
        <w:t xml:space="preserve">”, es decir </w:t>
      </w:r>
      <w:r w:rsidRPr="00032D45">
        <w:rPr>
          <w:rFonts w:ascii="Arial" w:hAnsi="Arial" w:cs="Arial"/>
          <w:i/>
        </w:rPr>
        <w:t>“Todo tratado en vigor obliga a las partes y debe ser cumplido por ellas de buena fe.”</w:t>
      </w:r>
      <w:r w:rsidR="007B1FCF">
        <w:rPr>
          <w:rFonts w:ascii="Arial" w:hAnsi="Arial" w:cs="Arial"/>
        </w:rPr>
        <w:t xml:space="preserve"> </w:t>
      </w:r>
    </w:p>
    <w:p w:rsidR="00855A43" w:rsidRDefault="00855A43" w:rsidP="00CC01B7">
      <w:pPr>
        <w:spacing w:after="0"/>
        <w:rPr>
          <w:rFonts w:ascii="Arial" w:hAnsi="Arial" w:cs="Arial"/>
        </w:rPr>
      </w:pPr>
    </w:p>
    <w:p w:rsidR="000C533F" w:rsidRPr="00032D45" w:rsidRDefault="00855A43" w:rsidP="00CC01B7">
      <w:pPr>
        <w:spacing w:after="0"/>
        <w:rPr>
          <w:rFonts w:ascii="Arial" w:hAnsi="Arial" w:cs="Arial"/>
        </w:rPr>
      </w:pPr>
      <w:r>
        <w:rPr>
          <w:rFonts w:ascii="Arial" w:hAnsi="Arial" w:cs="Arial"/>
        </w:rPr>
        <w:t>Profundizando en ello</w:t>
      </w:r>
      <w:r w:rsidR="000C533F" w:rsidRPr="00032D45">
        <w:rPr>
          <w:rFonts w:ascii="Arial" w:hAnsi="Arial" w:cs="Arial"/>
        </w:rPr>
        <w:t xml:space="preserve">, el </w:t>
      </w:r>
      <w:r w:rsidR="000C533F" w:rsidRPr="00032D45">
        <w:rPr>
          <w:rFonts w:ascii="Arial" w:hAnsi="Arial" w:cs="Arial"/>
          <w:i/>
        </w:rPr>
        <w:t>artículo 27</w:t>
      </w:r>
      <w:r w:rsidR="000C533F" w:rsidRPr="00032D45">
        <w:rPr>
          <w:rFonts w:ascii="Arial" w:hAnsi="Arial" w:cs="Arial"/>
        </w:rPr>
        <w:t xml:space="preserve"> del mismo Texto Legal lo refleja aún de forma más terminante: </w:t>
      </w:r>
      <w:r w:rsidR="000C533F" w:rsidRPr="00032D45">
        <w:rPr>
          <w:rFonts w:ascii="Arial" w:hAnsi="Arial" w:cs="Arial"/>
          <w:i/>
        </w:rPr>
        <w:t>“Una Parte no podrá invocar las disposiciones de su derecho interno como justificación del incumplimiento de un tratado.”</w:t>
      </w:r>
      <w:r>
        <w:rPr>
          <w:rFonts w:ascii="Arial" w:hAnsi="Arial" w:cs="Arial"/>
        </w:rPr>
        <w:t xml:space="preserve"> </w:t>
      </w:r>
      <w:r w:rsidR="000C533F" w:rsidRPr="00032D45">
        <w:rPr>
          <w:rFonts w:ascii="Arial" w:hAnsi="Arial" w:cs="Arial"/>
          <w:bCs/>
        </w:rPr>
        <w:t xml:space="preserve">De conformidad con esta norma convencional, la jurisprudencia de la Corte Internacional de Justicia y de los Tribunales arbitrales ha reflejado en numerosas resoluciones la </w:t>
      </w:r>
      <w:r w:rsidR="000C533F" w:rsidRPr="00032D45">
        <w:rPr>
          <w:rFonts w:ascii="Arial" w:hAnsi="Arial" w:cs="Arial"/>
        </w:rPr>
        <w:t>primacía del Derecho Internacional sobre el Derecho interno</w:t>
      </w:r>
      <w:r w:rsidR="00F131F0">
        <w:rPr>
          <w:rFonts w:ascii="Arial" w:hAnsi="Arial" w:cs="Arial"/>
        </w:rPr>
        <w:t xml:space="preserve"> (Andrés Sáenz de Santamaría, 2014: 209)</w:t>
      </w:r>
      <w:r w:rsidR="000C533F" w:rsidRPr="00032D45">
        <w:rPr>
          <w:rFonts w:ascii="Arial" w:hAnsi="Arial" w:cs="Arial"/>
        </w:rPr>
        <w:t>.</w:t>
      </w:r>
      <w:r w:rsidR="00F131F0" w:rsidRPr="00032D45">
        <w:rPr>
          <w:rFonts w:ascii="Arial" w:hAnsi="Arial" w:cs="Arial"/>
        </w:rPr>
        <w:t xml:space="preserve"> </w:t>
      </w:r>
      <w:r w:rsidR="0012040F" w:rsidRPr="00032D45">
        <w:rPr>
          <w:rFonts w:ascii="Arial" w:hAnsi="Arial" w:cs="Arial"/>
        </w:rPr>
        <w:t>Así</w:t>
      </w:r>
      <w:r w:rsidR="000C533F" w:rsidRPr="00032D45">
        <w:rPr>
          <w:rFonts w:ascii="Arial" w:hAnsi="Arial" w:cs="Arial"/>
        </w:rPr>
        <w:t xml:space="preserve">, en el </w:t>
      </w:r>
      <w:r w:rsidR="000C533F" w:rsidRPr="00032D45">
        <w:rPr>
          <w:rFonts w:ascii="Arial" w:hAnsi="Arial" w:cs="Arial"/>
          <w:i/>
        </w:rPr>
        <w:t>asunto de las Comunidades greco-búlgaras</w:t>
      </w:r>
      <w:r w:rsidR="000C533F" w:rsidRPr="00032D45">
        <w:rPr>
          <w:rFonts w:ascii="Arial" w:hAnsi="Arial" w:cs="Arial"/>
        </w:rPr>
        <w:t>,</w:t>
      </w:r>
      <w:r w:rsidR="000C533F" w:rsidRPr="00032D45">
        <w:rPr>
          <w:rStyle w:val="Refdenotaalpie"/>
          <w:rFonts w:ascii="Arial" w:hAnsi="Arial" w:cs="Arial"/>
        </w:rPr>
        <w:footnoteReference w:id="36"/>
      </w:r>
      <w:r w:rsidR="000C533F" w:rsidRPr="00032D45">
        <w:rPr>
          <w:rFonts w:ascii="Arial" w:hAnsi="Arial" w:cs="Arial"/>
        </w:rPr>
        <w:t xml:space="preserve"> el Tribunal Permanente </w:t>
      </w:r>
      <w:r w:rsidR="008755B1" w:rsidRPr="00032D45">
        <w:rPr>
          <w:rFonts w:ascii="Arial" w:hAnsi="Arial" w:cs="Arial"/>
        </w:rPr>
        <w:t xml:space="preserve">de Justicia Internacional </w:t>
      </w:r>
      <w:r w:rsidR="000C533F" w:rsidRPr="00032D45">
        <w:rPr>
          <w:rFonts w:ascii="Arial" w:hAnsi="Arial" w:cs="Arial"/>
        </w:rPr>
        <w:t xml:space="preserve">concluyó: </w:t>
      </w:r>
    </w:p>
    <w:p w:rsidR="000C533F" w:rsidRPr="00032D45" w:rsidRDefault="000C533F" w:rsidP="00CC01B7">
      <w:pPr>
        <w:spacing w:after="0"/>
        <w:ind w:firstLine="708"/>
        <w:rPr>
          <w:rFonts w:ascii="Arial" w:hAnsi="Arial" w:cs="Arial"/>
        </w:rPr>
      </w:pPr>
    </w:p>
    <w:p w:rsidR="000C533F" w:rsidRPr="00032D45" w:rsidRDefault="000C533F" w:rsidP="00CC01B7">
      <w:pPr>
        <w:spacing w:after="0"/>
        <w:ind w:left="709"/>
        <w:rPr>
          <w:rFonts w:ascii="Arial" w:hAnsi="Arial" w:cs="Arial"/>
          <w:i/>
        </w:rPr>
      </w:pPr>
      <w:r w:rsidRPr="00032D45">
        <w:rPr>
          <w:rFonts w:ascii="Arial" w:hAnsi="Arial" w:cs="Arial"/>
          <w:i/>
        </w:rPr>
        <w:t>“es un principio generalmente reconocido del Derecho de gentes que, en las relaciones entre las Potencias contratantes de un tratado, las disposiciones de una ley interna no pueden prevalecer sobre las del tratado”.</w:t>
      </w:r>
      <w:r w:rsidRPr="00032D45">
        <w:rPr>
          <w:rStyle w:val="Refdenotaalpie"/>
          <w:rFonts w:ascii="Arial" w:hAnsi="Arial" w:cs="Arial"/>
          <w:i/>
        </w:rPr>
        <w:footnoteReference w:id="37"/>
      </w:r>
    </w:p>
    <w:p w:rsidR="000C533F" w:rsidRPr="00032D45" w:rsidRDefault="000C533F" w:rsidP="00CC01B7">
      <w:pPr>
        <w:spacing w:after="0"/>
        <w:ind w:firstLine="708"/>
        <w:rPr>
          <w:rFonts w:ascii="Arial" w:hAnsi="Arial" w:cs="Arial"/>
        </w:rPr>
      </w:pPr>
    </w:p>
    <w:p w:rsidR="000C533F" w:rsidRPr="00032D45" w:rsidRDefault="00772948" w:rsidP="00CC01B7">
      <w:pPr>
        <w:spacing w:after="0"/>
        <w:rPr>
          <w:rFonts w:ascii="Arial" w:hAnsi="Arial" w:cs="Arial"/>
        </w:rPr>
      </w:pPr>
      <w:r>
        <w:rPr>
          <w:rFonts w:ascii="Arial" w:hAnsi="Arial" w:cs="Arial"/>
        </w:rPr>
        <w:t>En consecuencia, e</w:t>
      </w:r>
      <w:r w:rsidR="000C533F" w:rsidRPr="00032D45">
        <w:rPr>
          <w:rFonts w:ascii="Arial" w:hAnsi="Arial" w:cs="Arial"/>
        </w:rPr>
        <w:t xml:space="preserve">n caso de </w:t>
      </w:r>
      <w:r w:rsidR="00CB3DB8" w:rsidRPr="00032D45">
        <w:rPr>
          <w:rFonts w:ascii="Arial" w:hAnsi="Arial" w:cs="Arial"/>
        </w:rPr>
        <w:t xml:space="preserve">incumplimiento de </w:t>
      </w:r>
      <w:r w:rsidR="000C533F" w:rsidRPr="00032D45">
        <w:rPr>
          <w:rFonts w:ascii="Arial" w:hAnsi="Arial" w:cs="Arial"/>
        </w:rPr>
        <w:t>un tratado u otra norma internacional,</w:t>
      </w:r>
      <w:r w:rsidR="00CB3DB8" w:rsidRPr="00032D45">
        <w:rPr>
          <w:rFonts w:ascii="Arial" w:hAnsi="Arial" w:cs="Arial"/>
        </w:rPr>
        <w:t xml:space="preserve"> en base a una norma interna,</w:t>
      </w:r>
      <w:r w:rsidR="000C533F" w:rsidRPr="00032D45">
        <w:rPr>
          <w:rFonts w:ascii="Arial" w:hAnsi="Arial" w:cs="Arial"/>
        </w:rPr>
        <w:t xml:space="preserve"> dicho Estado </w:t>
      </w:r>
      <w:r>
        <w:rPr>
          <w:rFonts w:ascii="Arial" w:hAnsi="Arial" w:cs="Arial"/>
        </w:rPr>
        <w:t xml:space="preserve">podría </w:t>
      </w:r>
      <w:r w:rsidR="000C533F" w:rsidRPr="00032D45">
        <w:rPr>
          <w:rFonts w:ascii="Arial" w:hAnsi="Arial" w:cs="Arial"/>
        </w:rPr>
        <w:t>incurri</w:t>
      </w:r>
      <w:r w:rsidR="00CB3DB8" w:rsidRPr="00032D45">
        <w:rPr>
          <w:rFonts w:ascii="Arial" w:hAnsi="Arial" w:cs="Arial"/>
        </w:rPr>
        <w:t>r</w:t>
      </w:r>
      <w:r w:rsidR="000C533F" w:rsidRPr="00032D45">
        <w:rPr>
          <w:rFonts w:ascii="Arial" w:hAnsi="Arial" w:cs="Arial"/>
        </w:rPr>
        <w:t xml:space="preserve"> en responsabilidad internacional.</w:t>
      </w:r>
      <w:r>
        <w:rPr>
          <w:rFonts w:ascii="Arial" w:hAnsi="Arial" w:cs="Arial"/>
        </w:rPr>
        <w:t xml:space="preserve"> </w:t>
      </w:r>
      <w:r w:rsidR="00855A43">
        <w:rPr>
          <w:rFonts w:ascii="Arial" w:hAnsi="Arial" w:cs="Arial"/>
        </w:rPr>
        <w:t>No obstante</w:t>
      </w:r>
      <w:r w:rsidR="00BE6E1A" w:rsidRPr="00032D45">
        <w:rPr>
          <w:rFonts w:ascii="Arial" w:hAnsi="Arial" w:cs="Arial"/>
        </w:rPr>
        <w:t xml:space="preserve">, esta </w:t>
      </w:r>
      <w:r w:rsidR="00855A43">
        <w:rPr>
          <w:rFonts w:ascii="Arial" w:hAnsi="Arial" w:cs="Arial"/>
        </w:rPr>
        <w:t>afirmación</w:t>
      </w:r>
      <w:r w:rsidR="00BE6E1A" w:rsidRPr="00032D45">
        <w:rPr>
          <w:rFonts w:ascii="Arial" w:hAnsi="Arial" w:cs="Arial"/>
        </w:rPr>
        <w:t xml:space="preserve"> debe examinarse teniendo en cuenta el modo de recepción del Derecho internacional público por parte de los Estados soberanos en su Derecho interno. </w:t>
      </w:r>
      <w:r w:rsidR="000342C0" w:rsidRPr="00032D45">
        <w:rPr>
          <w:rFonts w:ascii="Arial" w:hAnsi="Arial" w:cs="Arial"/>
        </w:rPr>
        <w:t>En el caso de España, l</w:t>
      </w:r>
      <w:r w:rsidR="000C533F" w:rsidRPr="00032D45">
        <w:rPr>
          <w:rFonts w:ascii="Arial" w:hAnsi="Arial" w:cs="Arial"/>
        </w:rPr>
        <w:t xml:space="preserve">a </w:t>
      </w:r>
      <w:r w:rsidR="000C533F" w:rsidRPr="00032D45">
        <w:rPr>
          <w:rFonts w:ascii="Arial" w:hAnsi="Arial" w:cs="Arial"/>
          <w:i/>
        </w:rPr>
        <w:t>Constitución española de 1978</w:t>
      </w:r>
      <w:r w:rsidR="000C533F" w:rsidRPr="00032D45">
        <w:rPr>
          <w:rFonts w:ascii="Arial" w:hAnsi="Arial" w:cs="Arial"/>
        </w:rPr>
        <w:t xml:space="preserve"> </w:t>
      </w:r>
      <w:r w:rsidR="003B7414" w:rsidRPr="00032D45">
        <w:rPr>
          <w:rFonts w:ascii="Arial" w:hAnsi="Arial" w:cs="Arial"/>
        </w:rPr>
        <w:t xml:space="preserve">-en su </w:t>
      </w:r>
      <w:r w:rsidR="003B7414" w:rsidRPr="00032D45">
        <w:rPr>
          <w:rFonts w:ascii="Arial" w:hAnsi="Arial" w:cs="Arial"/>
          <w:i/>
        </w:rPr>
        <w:t>artículo 96</w:t>
      </w:r>
      <w:r w:rsidR="003B7414" w:rsidRPr="00032D45">
        <w:rPr>
          <w:rFonts w:ascii="Arial" w:hAnsi="Arial" w:cs="Arial"/>
        </w:rPr>
        <w:t xml:space="preserve">- consagra la primacía del </w:t>
      </w:r>
      <w:r w:rsidR="000C533F" w:rsidRPr="00032D45">
        <w:rPr>
          <w:rFonts w:ascii="Arial" w:hAnsi="Arial" w:cs="Arial"/>
        </w:rPr>
        <w:t xml:space="preserve">Derecho Internacional </w:t>
      </w:r>
      <w:r w:rsidR="003B7414" w:rsidRPr="00032D45">
        <w:rPr>
          <w:rFonts w:ascii="Arial" w:hAnsi="Arial" w:cs="Arial"/>
        </w:rPr>
        <w:t>sobre las normas internas:</w:t>
      </w:r>
    </w:p>
    <w:p w:rsidR="000C533F" w:rsidRPr="00032D45" w:rsidRDefault="000C533F" w:rsidP="00CC01B7">
      <w:pPr>
        <w:spacing w:after="0"/>
        <w:ind w:firstLine="708"/>
        <w:rPr>
          <w:rFonts w:ascii="Arial" w:hAnsi="Arial" w:cs="Arial"/>
        </w:rPr>
      </w:pPr>
    </w:p>
    <w:p w:rsidR="000C533F" w:rsidRPr="00032D45" w:rsidRDefault="000C533F" w:rsidP="00CC01B7">
      <w:pPr>
        <w:spacing w:after="0"/>
        <w:ind w:left="709"/>
        <w:rPr>
          <w:rFonts w:ascii="Arial" w:hAnsi="Arial" w:cs="Arial"/>
          <w:i/>
        </w:rPr>
      </w:pPr>
      <w:r w:rsidRPr="00032D45">
        <w:rPr>
          <w:rFonts w:ascii="Arial" w:hAnsi="Arial" w:cs="Arial"/>
          <w:i/>
        </w:rPr>
        <w:t>“Los tratados internacionales válidamente celebrados, una vez publicados oficialmente en España, formarán parte del ordenamiento interno. Sus disposiciones sólo podrán ser derogadas, modificadas o suspendidas en la forma prevista en los propios tratados o de acuerdo con las normas generales del Derecho internacional.”</w:t>
      </w:r>
    </w:p>
    <w:p w:rsidR="000C533F" w:rsidRPr="00032D45" w:rsidRDefault="000C533F" w:rsidP="00CC01B7">
      <w:pPr>
        <w:spacing w:after="0"/>
        <w:ind w:firstLine="708"/>
        <w:rPr>
          <w:rFonts w:ascii="Arial" w:hAnsi="Arial" w:cs="Arial"/>
        </w:rPr>
      </w:pPr>
    </w:p>
    <w:p w:rsidR="003B7414" w:rsidRPr="00032D45" w:rsidRDefault="00772948" w:rsidP="00CC01B7">
      <w:pPr>
        <w:spacing w:after="0"/>
        <w:rPr>
          <w:rFonts w:ascii="Arial" w:hAnsi="Arial" w:cs="Arial"/>
        </w:rPr>
      </w:pPr>
      <w:r>
        <w:rPr>
          <w:rFonts w:ascii="Arial" w:hAnsi="Arial" w:cs="Arial"/>
        </w:rPr>
        <w:t xml:space="preserve">En complemento a este precepto, el </w:t>
      </w:r>
      <w:r w:rsidRPr="00032D45">
        <w:rPr>
          <w:rFonts w:ascii="Arial" w:hAnsi="Arial" w:cs="Arial"/>
        </w:rPr>
        <w:t>artículo 95 CE</w:t>
      </w:r>
      <w:r w:rsidRPr="00032D45">
        <w:rPr>
          <w:rStyle w:val="Refdenotaalpie"/>
          <w:rFonts w:ascii="Arial" w:hAnsi="Arial" w:cs="Arial"/>
        </w:rPr>
        <w:footnoteReference w:id="38"/>
      </w:r>
      <w:r>
        <w:rPr>
          <w:rFonts w:ascii="Arial" w:hAnsi="Arial" w:cs="Arial"/>
        </w:rPr>
        <w:t xml:space="preserve"> establece que</w:t>
      </w:r>
      <w:r w:rsidR="003B7414" w:rsidRPr="00032D45">
        <w:rPr>
          <w:rFonts w:ascii="Arial" w:hAnsi="Arial" w:cs="Arial"/>
        </w:rPr>
        <w:t xml:space="preserve"> los tratados tienen rango </w:t>
      </w:r>
      <w:proofErr w:type="spellStart"/>
      <w:r w:rsidR="003B7414" w:rsidRPr="00032D45">
        <w:rPr>
          <w:rFonts w:ascii="Arial" w:hAnsi="Arial" w:cs="Arial"/>
        </w:rPr>
        <w:t>supralegal</w:t>
      </w:r>
      <w:proofErr w:type="spellEnd"/>
      <w:r w:rsidR="003B7414" w:rsidRPr="00032D45">
        <w:rPr>
          <w:rFonts w:ascii="Arial" w:hAnsi="Arial" w:cs="Arial"/>
        </w:rPr>
        <w:t xml:space="preserve"> pero</w:t>
      </w:r>
      <w:r w:rsidR="00BE6E1A" w:rsidRPr="00032D45">
        <w:rPr>
          <w:rFonts w:ascii="Arial" w:hAnsi="Arial" w:cs="Arial"/>
        </w:rPr>
        <w:t xml:space="preserve"> –a la vez-</w:t>
      </w:r>
      <w:r w:rsidR="003B7414" w:rsidRPr="00032D45">
        <w:rPr>
          <w:rFonts w:ascii="Arial" w:hAnsi="Arial" w:cs="Arial"/>
        </w:rPr>
        <w:t xml:space="preserve"> </w:t>
      </w:r>
      <w:proofErr w:type="spellStart"/>
      <w:r w:rsidR="003B7414" w:rsidRPr="00032D45">
        <w:rPr>
          <w:rFonts w:ascii="Arial" w:hAnsi="Arial" w:cs="Arial"/>
        </w:rPr>
        <w:t>infraconstitucional</w:t>
      </w:r>
      <w:proofErr w:type="spellEnd"/>
      <w:r w:rsidR="003B7414" w:rsidRPr="00032D45">
        <w:rPr>
          <w:rFonts w:ascii="Arial" w:hAnsi="Arial" w:cs="Arial"/>
        </w:rPr>
        <w:t xml:space="preserve">. </w:t>
      </w:r>
      <w:r w:rsidR="00153375" w:rsidRPr="00032D45">
        <w:rPr>
          <w:rFonts w:ascii="Arial" w:hAnsi="Arial" w:cs="Arial"/>
        </w:rPr>
        <w:t>El legislador español, a</w:t>
      </w:r>
      <w:r w:rsidR="00A35F5A" w:rsidRPr="00032D45">
        <w:rPr>
          <w:rFonts w:ascii="Arial" w:hAnsi="Arial" w:cs="Arial"/>
        </w:rPr>
        <w:t>u</w:t>
      </w:r>
      <w:r w:rsidR="00153375" w:rsidRPr="00032D45">
        <w:rPr>
          <w:rFonts w:ascii="Arial" w:hAnsi="Arial" w:cs="Arial"/>
        </w:rPr>
        <w:t>n aceptando la primacía de los tratados sobre las normas internas, ha querido que la manifestación del consentimiento por parte del Gobierno en obligarse por un tratado esté supeditada a su previa conformidad con la Constitución, otorgando al Tribunal Constitucional la facultad de controlar la constitucionalidad de los tratados vigentes en España</w:t>
      </w:r>
      <w:r w:rsidR="00F131F0">
        <w:rPr>
          <w:rFonts w:ascii="Arial" w:hAnsi="Arial" w:cs="Arial"/>
        </w:rPr>
        <w:t xml:space="preserve"> (Díez de Velasco, 2013)</w:t>
      </w:r>
      <w:r w:rsidR="00153375" w:rsidRPr="00032D45">
        <w:rPr>
          <w:rFonts w:ascii="Arial" w:hAnsi="Arial" w:cs="Arial"/>
        </w:rPr>
        <w:t xml:space="preserve">, o bien obligando al legislador a promover la reforma constitucional para la adecuación de nuestra Carta Magna al tratado internacional. </w:t>
      </w:r>
    </w:p>
    <w:p w:rsidR="003B7414" w:rsidRPr="00032D45" w:rsidRDefault="003B7414" w:rsidP="00CC01B7">
      <w:pPr>
        <w:spacing w:after="0"/>
        <w:rPr>
          <w:rFonts w:ascii="Arial" w:hAnsi="Arial" w:cs="Arial"/>
        </w:rPr>
      </w:pPr>
    </w:p>
    <w:p w:rsidR="00772948" w:rsidRDefault="00855A43" w:rsidP="00CC01B7">
      <w:pPr>
        <w:spacing w:after="0"/>
        <w:rPr>
          <w:rFonts w:ascii="Arial" w:hAnsi="Arial" w:cs="Arial"/>
        </w:rPr>
      </w:pPr>
      <w:r>
        <w:rPr>
          <w:rFonts w:ascii="Arial" w:hAnsi="Arial" w:cs="Arial"/>
        </w:rPr>
        <w:t>Por otro lado</w:t>
      </w:r>
      <w:r w:rsidR="000C533F" w:rsidRPr="00032D45">
        <w:rPr>
          <w:rFonts w:ascii="Arial" w:hAnsi="Arial" w:cs="Arial"/>
        </w:rPr>
        <w:t xml:space="preserve">, la Constitución Española otorga a los tratados internacionales valor </w:t>
      </w:r>
      <w:r w:rsidR="00190757" w:rsidRPr="00032D45">
        <w:rPr>
          <w:rFonts w:ascii="Arial" w:hAnsi="Arial" w:cs="Arial"/>
        </w:rPr>
        <w:t>i</w:t>
      </w:r>
      <w:r w:rsidR="000C533F" w:rsidRPr="00032D45">
        <w:rPr>
          <w:rFonts w:ascii="Arial" w:hAnsi="Arial" w:cs="Arial"/>
        </w:rPr>
        <w:t xml:space="preserve">nterpretativo en su </w:t>
      </w:r>
      <w:r w:rsidR="000C533F" w:rsidRPr="00032D45">
        <w:rPr>
          <w:rFonts w:ascii="Arial" w:hAnsi="Arial" w:cs="Arial"/>
          <w:i/>
        </w:rPr>
        <w:t>artículo 10.2</w:t>
      </w:r>
      <w:r w:rsidR="000C533F" w:rsidRPr="00032D45">
        <w:rPr>
          <w:rFonts w:ascii="Arial" w:hAnsi="Arial" w:cs="Arial"/>
        </w:rPr>
        <w:t>, permitiendo de esta forma la expansión de los derechos humanos proclamados en las convenciones internacionales y la aplicación de la jurisprudencia de la Corte Europea de Derechos Humanos en nuestro país</w:t>
      </w:r>
      <w:r w:rsidR="00F131F0">
        <w:rPr>
          <w:rFonts w:ascii="Arial" w:hAnsi="Arial" w:cs="Arial"/>
        </w:rPr>
        <w:t xml:space="preserve"> </w:t>
      </w:r>
      <w:r>
        <w:rPr>
          <w:rFonts w:ascii="Arial" w:hAnsi="Arial" w:cs="Arial"/>
        </w:rPr>
        <w:t>(</w:t>
      </w:r>
      <w:r w:rsidR="00F131F0">
        <w:rPr>
          <w:rFonts w:ascii="Arial" w:hAnsi="Arial" w:cs="Arial"/>
        </w:rPr>
        <w:t>Cuenca Gómez, 2012)</w:t>
      </w:r>
      <w:r w:rsidR="002E6A91" w:rsidRPr="00032D45">
        <w:rPr>
          <w:rFonts w:ascii="Arial" w:hAnsi="Arial" w:cs="Arial"/>
        </w:rPr>
        <w:t>.</w:t>
      </w:r>
      <w:r w:rsidR="00A8239D" w:rsidRPr="00032D45">
        <w:rPr>
          <w:rFonts w:ascii="Arial" w:hAnsi="Arial" w:cs="Arial"/>
        </w:rPr>
        <w:t xml:space="preserve"> </w:t>
      </w:r>
    </w:p>
    <w:p w:rsidR="00772948" w:rsidRDefault="00772948" w:rsidP="00CC01B7">
      <w:pPr>
        <w:spacing w:after="0"/>
        <w:rPr>
          <w:rFonts w:ascii="Arial" w:hAnsi="Arial" w:cs="Arial"/>
        </w:rPr>
      </w:pPr>
    </w:p>
    <w:p w:rsidR="005E4EDE" w:rsidRDefault="00855A43" w:rsidP="00CC01B7">
      <w:pPr>
        <w:spacing w:after="0"/>
        <w:rPr>
          <w:rFonts w:ascii="Arial" w:hAnsi="Arial" w:cs="Arial"/>
        </w:rPr>
      </w:pPr>
      <w:r>
        <w:rPr>
          <w:rFonts w:ascii="Arial" w:hAnsi="Arial" w:cs="Arial"/>
        </w:rPr>
        <w:t>En consecuencia</w:t>
      </w:r>
      <w:r w:rsidR="000C533F" w:rsidRPr="00032D45">
        <w:rPr>
          <w:rFonts w:ascii="Arial" w:hAnsi="Arial" w:cs="Arial"/>
        </w:rPr>
        <w:t xml:space="preserve">, el reconocimiento en nuestra norma fundamental de la primacía de los tratados internacionales frente a las normas internas así como del valor interpretativo de la Declaración Universal de Derechos Humanos y de los tratados internacionales sobre derechos humanos que han sido ratificados por España, pone de manifiesto que ninguna norma contenida en nuestro ordenamiento jurídico interno puede contravenir una norma </w:t>
      </w:r>
      <w:r w:rsidR="007B1FCF">
        <w:rPr>
          <w:rFonts w:ascii="Arial" w:hAnsi="Arial" w:cs="Arial"/>
        </w:rPr>
        <w:t>vinculante</w:t>
      </w:r>
      <w:r w:rsidR="000C533F" w:rsidRPr="00032D45">
        <w:rPr>
          <w:rFonts w:ascii="Arial" w:hAnsi="Arial" w:cs="Arial"/>
        </w:rPr>
        <w:t xml:space="preserve"> de Derecho </w:t>
      </w:r>
      <w:r w:rsidR="00CB3DB8" w:rsidRPr="00032D45">
        <w:rPr>
          <w:rFonts w:ascii="Arial" w:hAnsi="Arial" w:cs="Arial"/>
        </w:rPr>
        <w:t>i</w:t>
      </w:r>
      <w:r w:rsidR="000C533F" w:rsidRPr="00032D45">
        <w:rPr>
          <w:rFonts w:ascii="Arial" w:hAnsi="Arial" w:cs="Arial"/>
        </w:rPr>
        <w:t xml:space="preserve">nternacional </w:t>
      </w:r>
      <w:r w:rsidR="00CB3DB8" w:rsidRPr="00032D45">
        <w:rPr>
          <w:rFonts w:ascii="Arial" w:hAnsi="Arial" w:cs="Arial"/>
        </w:rPr>
        <w:t>p</w:t>
      </w:r>
      <w:r w:rsidR="000C533F" w:rsidRPr="00032D45">
        <w:rPr>
          <w:rFonts w:ascii="Arial" w:hAnsi="Arial" w:cs="Arial"/>
        </w:rPr>
        <w:t>úblico</w:t>
      </w:r>
      <w:r w:rsidR="003C698B" w:rsidRPr="00032D45">
        <w:rPr>
          <w:rFonts w:ascii="Arial" w:hAnsi="Arial" w:cs="Arial"/>
        </w:rPr>
        <w:t xml:space="preserve">. </w:t>
      </w:r>
      <w:r w:rsidR="0012040F" w:rsidRPr="00032D45">
        <w:rPr>
          <w:rFonts w:ascii="Arial" w:hAnsi="Arial" w:cs="Arial"/>
        </w:rPr>
        <w:t>En España, l</w:t>
      </w:r>
      <w:r w:rsidR="000C533F" w:rsidRPr="00032D45">
        <w:rPr>
          <w:rFonts w:ascii="Arial" w:hAnsi="Arial" w:cs="Arial"/>
        </w:rPr>
        <w:t xml:space="preserve">a Convención </w:t>
      </w:r>
      <w:r w:rsidR="00C37DF2" w:rsidRPr="00032D45">
        <w:rPr>
          <w:rFonts w:ascii="Arial" w:hAnsi="Arial" w:cs="Arial"/>
        </w:rPr>
        <w:t xml:space="preserve">sobre los Derechos de las Personas con Discapacidad </w:t>
      </w:r>
      <w:r w:rsidR="000C533F" w:rsidRPr="00032D45">
        <w:rPr>
          <w:rFonts w:ascii="Arial" w:hAnsi="Arial" w:cs="Arial"/>
        </w:rPr>
        <w:t xml:space="preserve">debe ser </w:t>
      </w:r>
      <w:r w:rsidR="000C533F" w:rsidRPr="00032D45">
        <w:rPr>
          <w:rFonts w:ascii="Arial" w:hAnsi="Arial" w:cs="Arial"/>
        </w:rPr>
        <w:lastRenderedPageBreak/>
        <w:t xml:space="preserve">directamente aplicable por los poderes públicos y </w:t>
      </w:r>
      <w:r w:rsidR="0012040F" w:rsidRPr="00032D45">
        <w:rPr>
          <w:rFonts w:ascii="Arial" w:hAnsi="Arial" w:cs="Arial"/>
        </w:rPr>
        <w:t>resulta plenamente</w:t>
      </w:r>
      <w:r w:rsidR="000C533F" w:rsidRPr="00032D45">
        <w:rPr>
          <w:rFonts w:ascii="Arial" w:hAnsi="Arial" w:cs="Arial"/>
        </w:rPr>
        <w:t xml:space="preserve"> exigible por los ciudadanos.</w:t>
      </w:r>
      <w:r w:rsidR="00153375" w:rsidRPr="00032D45">
        <w:rPr>
          <w:rFonts w:ascii="Arial" w:hAnsi="Arial" w:cs="Arial"/>
        </w:rPr>
        <w:t xml:space="preserve"> </w:t>
      </w:r>
    </w:p>
    <w:p w:rsidR="005E4EDE" w:rsidRDefault="005E4EDE" w:rsidP="00CC01B7">
      <w:pPr>
        <w:spacing w:after="0"/>
        <w:rPr>
          <w:rFonts w:ascii="Arial" w:hAnsi="Arial" w:cs="Arial"/>
        </w:rPr>
      </w:pPr>
    </w:p>
    <w:p w:rsidR="005E4EDE" w:rsidRPr="00032D45" w:rsidRDefault="005E4EDE" w:rsidP="00CC01B7">
      <w:pPr>
        <w:spacing w:after="0"/>
        <w:rPr>
          <w:rFonts w:ascii="Arial" w:hAnsi="Arial" w:cs="Arial"/>
        </w:rPr>
      </w:pPr>
      <w:r>
        <w:rPr>
          <w:rFonts w:ascii="Arial" w:hAnsi="Arial" w:cs="Arial"/>
        </w:rPr>
        <w:t>Esta premisa resulta fundamental para los fines de nuestro trabajo. D</w:t>
      </w:r>
      <w:r w:rsidRPr="00032D45">
        <w:rPr>
          <w:rFonts w:ascii="Arial" w:hAnsi="Arial" w:cs="Arial"/>
        </w:rPr>
        <w:t xml:space="preserve">esde un punto de vista técnico jurídico en las relaciones entre una ley anterior y un tratado posterior, la doctrina mayoritaria coincide en que </w:t>
      </w:r>
      <w:r>
        <w:rPr>
          <w:rFonts w:ascii="Arial" w:hAnsi="Arial" w:cs="Arial"/>
        </w:rPr>
        <w:t>un</w:t>
      </w:r>
      <w:r w:rsidRPr="00032D45">
        <w:rPr>
          <w:rFonts w:ascii="Arial" w:hAnsi="Arial" w:cs="Arial"/>
        </w:rPr>
        <w:t xml:space="preserve"> tratado </w:t>
      </w:r>
      <w:r>
        <w:rPr>
          <w:rFonts w:ascii="Arial" w:hAnsi="Arial" w:cs="Arial"/>
        </w:rPr>
        <w:t xml:space="preserve">posterior </w:t>
      </w:r>
      <w:r w:rsidRPr="00032D45">
        <w:rPr>
          <w:rFonts w:ascii="Arial" w:hAnsi="Arial" w:cs="Arial"/>
        </w:rPr>
        <w:t>podrá derogar o modificar la ley anterior</w:t>
      </w:r>
      <w:r>
        <w:rPr>
          <w:rFonts w:ascii="Arial" w:hAnsi="Arial" w:cs="Arial"/>
        </w:rPr>
        <w:t xml:space="preserve"> (Andrés Sáenz de Santamaría, 2014: 223)</w:t>
      </w:r>
      <w:r w:rsidRPr="00032D45">
        <w:rPr>
          <w:rFonts w:ascii="Arial" w:hAnsi="Arial" w:cs="Arial"/>
        </w:rPr>
        <w:t>.</w:t>
      </w:r>
      <w:r>
        <w:rPr>
          <w:rFonts w:ascii="Arial" w:hAnsi="Arial" w:cs="Arial"/>
        </w:rPr>
        <w:t xml:space="preserve"> De ahí que, a nuestro entender, la entrada en vigor en España de la Convención sobre los Derechos de las Personas con Discapacidad (2006) obliga al legislador español a </w:t>
      </w:r>
      <w:r w:rsidRPr="00032D45">
        <w:rPr>
          <w:rFonts w:ascii="Arial" w:hAnsi="Arial" w:cs="Arial"/>
        </w:rPr>
        <w:t>reforma</w:t>
      </w:r>
      <w:r>
        <w:rPr>
          <w:rFonts w:ascii="Arial" w:hAnsi="Arial" w:cs="Arial"/>
        </w:rPr>
        <w:t>r</w:t>
      </w:r>
      <w:r w:rsidRPr="00032D45">
        <w:rPr>
          <w:rFonts w:ascii="Arial" w:hAnsi="Arial" w:cs="Arial"/>
        </w:rPr>
        <w:t xml:space="preserve"> </w:t>
      </w:r>
      <w:r>
        <w:rPr>
          <w:rFonts w:ascii="Arial" w:hAnsi="Arial" w:cs="Arial"/>
        </w:rPr>
        <w:t xml:space="preserve">o derogar </w:t>
      </w:r>
      <w:r w:rsidRPr="00032D45">
        <w:rPr>
          <w:rFonts w:ascii="Arial" w:hAnsi="Arial" w:cs="Arial"/>
        </w:rPr>
        <w:t>el artículo 3 de la Ley Orgánica del Régimen Electoral General</w:t>
      </w:r>
      <w:r>
        <w:rPr>
          <w:rFonts w:ascii="Arial" w:hAnsi="Arial" w:cs="Arial"/>
        </w:rPr>
        <w:t xml:space="preserve"> (1985), habida cuenta que n</w:t>
      </w:r>
      <w:r w:rsidRPr="00032D45">
        <w:rPr>
          <w:rFonts w:ascii="Arial" w:hAnsi="Arial" w:cs="Arial"/>
        </w:rPr>
        <w:t>uestro ordenamiento jurídico interno sigue sin dar un adecuado cumplimiento a los artículos 29 y 12 de la Convención de Nueva York, en concreto, en lo que respecta al derecho de voto de las personas con discapacidad y, sobre todo, de las personas con discapacidad intelectual o psíquica.</w:t>
      </w:r>
    </w:p>
    <w:p w:rsidR="005E4EDE" w:rsidRDefault="005E4EDE" w:rsidP="00CC01B7">
      <w:pPr>
        <w:spacing w:after="0"/>
        <w:rPr>
          <w:rFonts w:ascii="Arial" w:hAnsi="Arial" w:cs="Arial"/>
        </w:rPr>
      </w:pPr>
    </w:p>
    <w:p w:rsidR="005E4EDE" w:rsidRPr="00032D45" w:rsidRDefault="005E4EDE" w:rsidP="00CC01B7">
      <w:pPr>
        <w:spacing w:after="0"/>
        <w:rPr>
          <w:rFonts w:ascii="Arial" w:hAnsi="Arial" w:cs="Arial"/>
          <w:bCs/>
        </w:rPr>
      </w:pPr>
      <w:r>
        <w:rPr>
          <w:rFonts w:ascii="Arial" w:hAnsi="Arial" w:cs="Arial"/>
        </w:rPr>
        <w:t>Como hemos apuntado, e</w:t>
      </w:r>
      <w:r w:rsidRPr="00032D45">
        <w:rPr>
          <w:rFonts w:ascii="Arial" w:hAnsi="Arial" w:cs="Arial"/>
        </w:rPr>
        <w:t xml:space="preserve">n el ordenamiento jurídico español, el </w:t>
      </w:r>
      <w:r w:rsidRPr="00032D45">
        <w:rPr>
          <w:rFonts w:ascii="Arial" w:hAnsi="Arial" w:cs="Arial"/>
          <w:i/>
        </w:rPr>
        <w:t xml:space="preserve">artículo 3 de la </w:t>
      </w:r>
      <w:r w:rsidRPr="00032D45">
        <w:rPr>
          <w:rFonts w:ascii="Arial" w:hAnsi="Arial" w:cs="Arial"/>
          <w:bCs/>
          <w:i/>
        </w:rPr>
        <w:t>Ley Orgánica 5/1985, de 19 de junio, del Régimen Electoral General</w:t>
      </w:r>
      <w:r w:rsidR="00772948">
        <w:rPr>
          <w:rFonts w:ascii="Arial" w:hAnsi="Arial" w:cs="Arial"/>
          <w:bCs/>
          <w:i/>
        </w:rPr>
        <w:t xml:space="preserve"> -</w:t>
      </w:r>
      <w:r w:rsidRPr="00032D45">
        <w:rPr>
          <w:rFonts w:ascii="Arial" w:hAnsi="Arial" w:cs="Arial"/>
          <w:bCs/>
        </w:rPr>
        <w:t>que</w:t>
      </w:r>
      <w:r w:rsidRPr="00032D45">
        <w:rPr>
          <w:rFonts w:ascii="Arial" w:hAnsi="Arial" w:cs="Arial"/>
          <w:b/>
          <w:bCs/>
        </w:rPr>
        <w:t xml:space="preserve"> </w:t>
      </w:r>
      <w:r w:rsidRPr="00032D45">
        <w:rPr>
          <w:rFonts w:ascii="Arial" w:hAnsi="Arial" w:cs="Arial"/>
          <w:bCs/>
        </w:rPr>
        <w:t>reproducimos</w:t>
      </w:r>
      <w:r w:rsidR="00772948">
        <w:rPr>
          <w:rFonts w:ascii="Arial" w:hAnsi="Arial" w:cs="Arial"/>
          <w:bCs/>
        </w:rPr>
        <w:t>-, recoge las causas de exclusión del derecho de sufragio</w:t>
      </w:r>
      <w:r w:rsidRPr="00032D45">
        <w:rPr>
          <w:rFonts w:ascii="Arial" w:hAnsi="Arial" w:cs="Arial"/>
          <w:bCs/>
        </w:rPr>
        <w:t>:</w:t>
      </w:r>
    </w:p>
    <w:p w:rsidR="005E4EDE" w:rsidRPr="00032D45" w:rsidRDefault="005E4EDE" w:rsidP="00CC01B7">
      <w:pPr>
        <w:spacing w:after="0"/>
        <w:ind w:firstLine="708"/>
        <w:rPr>
          <w:rFonts w:ascii="Arial" w:hAnsi="Arial" w:cs="Arial"/>
        </w:rPr>
      </w:pPr>
    </w:p>
    <w:p w:rsidR="005E4EDE" w:rsidRPr="00032D45" w:rsidRDefault="005E4EDE" w:rsidP="00CC01B7">
      <w:pPr>
        <w:spacing w:after="0"/>
        <w:ind w:firstLine="708"/>
        <w:rPr>
          <w:rFonts w:ascii="Arial" w:hAnsi="Arial" w:cs="Arial"/>
          <w:i/>
        </w:rPr>
      </w:pPr>
      <w:r w:rsidRPr="00032D45">
        <w:rPr>
          <w:rFonts w:ascii="Arial" w:hAnsi="Arial" w:cs="Arial"/>
          <w:i/>
          <w:iCs/>
        </w:rPr>
        <w:t>“Artículo 3</w:t>
      </w:r>
      <w:r w:rsidRPr="00032D45">
        <w:rPr>
          <w:rFonts w:ascii="Arial" w:hAnsi="Arial" w:cs="Arial"/>
          <w:i/>
        </w:rPr>
        <w:t xml:space="preserve"> </w:t>
      </w:r>
    </w:p>
    <w:p w:rsidR="005E4EDE" w:rsidRPr="00032D45" w:rsidRDefault="005E4EDE" w:rsidP="00CC01B7">
      <w:pPr>
        <w:spacing w:after="0"/>
        <w:ind w:firstLine="708"/>
        <w:rPr>
          <w:rFonts w:ascii="Arial" w:hAnsi="Arial" w:cs="Arial"/>
          <w:bCs/>
          <w:i/>
        </w:rPr>
      </w:pPr>
      <w:r w:rsidRPr="00032D45">
        <w:rPr>
          <w:rFonts w:ascii="Arial" w:hAnsi="Arial" w:cs="Arial"/>
          <w:bCs/>
          <w:i/>
        </w:rPr>
        <w:t>1.</w:t>
      </w:r>
      <w:r w:rsidRPr="00032D45">
        <w:rPr>
          <w:rFonts w:ascii="Arial" w:hAnsi="Arial" w:cs="Arial"/>
          <w:b/>
          <w:bCs/>
          <w:i/>
        </w:rPr>
        <w:t xml:space="preserve"> </w:t>
      </w:r>
      <w:r w:rsidRPr="00032D45">
        <w:rPr>
          <w:rFonts w:ascii="Arial" w:hAnsi="Arial" w:cs="Arial"/>
          <w:i/>
        </w:rPr>
        <w:t>Carecen de derecho de sufragio</w:t>
      </w:r>
      <w:proofErr w:type="gramStart"/>
      <w:r w:rsidRPr="00032D45">
        <w:rPr>
          <w:rFonts w:ascii="Arial" w:hAnsi="Arial" w:cs="Arial"/>
          <w:i/>
        </w:rPr>
        <w:t>:</w:t>
      </w:r>
      <w:r w:rsidRPr="00032D45">
        <w:rPr>
          <w:rFonts w:ascii="Arial" w:hAnsi="Arial" w:cs="Arial"/>
          <w:bCs/>
          <w:i/>
        </w:rPr>
        <w:t>[</w:t>
      </w:r>
      <w:proofErr w:type="gramEnd"/>
      <w:r w:rsidRPr="00032D45">
        <w:rPr>
          <w:rFonts w:ascii="Arial" w:hAnsi="Arial" w:cs="Arial"/>
          <w:bCs/>
          <w:i/>
        </w:rPr>
        <w:t>…]</w:t>
      </w:r>
    </w:p>
    <w:p w:rsidR="005E4EDE" w:rsidRPr="00032D45" w:rsidRDefault="005E4EDE" w:rsidP="00CC01B7">
      <w:pPr>
        <w:spacing w:after="0"/>
        <w:ind w:left="720"/>
        <w:rPr>
          <w:rFonts w:ascii="Arial" w:hAnsi="Arial" w:cs="Arial"/>
          <w:i/>
        </w:rPr>
      </w:pPr>
      <w:r w:rsidRPr="00032D45">
        <w:rPr>
          <w:rFonts w:ascii="Arial" w:hAnsi="Arial" w:cs="Arial"/>
          <w:bCs/>
          <w:i/>
        </w:rPr>
        <w:t xml:space="preserve">b) </w:t>
      </w:r>
      <w:r w:rsidRPr="00032D45">
        <w:rPr>
          <w:rFonts w:ascii="Arial" w:hAnsi="Arial" w:cs="Arial"/>
          <w:i/>
        </w:rPr>
        <w:t>Los declarados incapaces en virtud de sentencia judicial firme, siempre que la misma declare expresamente la incapacidad para el ejercicio del derecho de sufragio.</w:t>
      </w:r>
    </w:p>
    <w:p w:rsidR="005E4EDE" w:rsidRPr="00032D45" w:rsidRDefault="005E4EDE" w:rsidP="00CC01B7">
      <w:pPr>
        <w:spacing w:after="0"/>
        <w:ind w:left="720"/>
        <w:rPr>
          <w:rFonts w:ascii="Arial" w:hAnsi="Arial" w:cs="Arial"/>
          <w:i/>
        </w:rPr>
      </w:pPr>
      <w:r w:rsidRPr="00032D45">
        <w:rPr>
          <w:rFonts w:ascii="Arial" w:hAnsi="Arial" w:cs="Arial"/>
          <w:bCs/>
          <w:i/>
        </w:rPr>
        <w:t xml:space="preserve">c) </w:t>
      </w:r>
      <w:r w:rsidRPr="00032D45">
        <w:rPr>
          <w:rFonts w:ascii="Arial" w:hAnsi="Arial" w:cs="Arial"/>
          <w:i/>
        </w:rPr>
        <w:t>Los internados en un hospital psiquiátrico con autorización judicial, durante el período que dure su internamiento, siempre que en la autorización el Juez declare expresamente la incapacidad para el ejercicio del derecho de sufragio.</w:t>
      </w:r>
    </w:p>
    <w:p w:rsidR="005E4EDE" w:rsidRPr="00032D45" w:rsidRDefault="005E4EDE" w:rsidP="00CC01B7">
      <w:pPr>
        <w:spacing w:after="0"/>
        <w:ind w:left="708"/>
        <w:rPr>
          <w:rFonts w:ascii="Arial" w:hAnsi="Arial" w:cs="Arial"/>
          <w:i/>
        </w:rPr>
      </w:pPr>
      <w:r w:rsidRPr="00032D45">
        <w:rPr>
          <w:rFonts w:ascii="Arial" w:hAnsi="Arial" w:cs="Arial"/>
          <w:bCs/>
          <w:i/>
        </w:rPr>
        <w:t xml:space="preserve">2. </w:t>
      </w:r>
      <w:r w:rsidRPr="00032D45">
        <w:rPr>
          <w:rFonts w:ascii="Arial" w:hAnsi="Arial" w:cs="Arial"/>
          <w:i/>
        </w:rPr>
        <w:t>A los efectos previstos en este artículo, los Jueces o Tribunales que entiendan de los procedimientos de incapacitación o internamiento deberán pronunciarse expresamente sobre la incapacidad para el ejercicio del sufragio. En el supuesto de que ésta sea apreciada, lo comunicarán al Registro Civil para que se proceda a la anotación correspondiente.”</w:t>
      </w:r>
    </w:p>
    <w:p w:rsidR="000C533F" w:rsidRPr="00032D45" w:rsidRDefault="000C533F" w:rsidP="00CC01B7">
      <w:pPr>
        <w:spacing w:after="0"/>
        <w:ind w:firstLine="708"/>
        <w:rPr>
          <w:rFonts w:ascii="Arial" w:hAnsi="Arial" w:cs="Arial"/>
        </w:rPr>
      </w:pPr>
    </w:p>
    <w:p w:rsidR="00F42FC0" w:rsidRDefault="000C533F" w:rsidP="00CC01B7">
      <w:pPr>
        <w:spacing w:after="0"/>
        <w:rPr>
          <w:rFonts w:ascii="Arial" w:hAnsi="Arial" w:cs="Arial"/>
        </w:rPr>
      </w:pPr>
      <w:r w:rsidRPr="00032D45">
        <w:rPr>
          <w:rFonts w:ascii="Arial" w:hAnsi="Arial" w:cs="Arial"/>
        </w:rPr>
        <w:t xml:space="preserve">Esta Ley aprobada en los primeros años de la naciente democracia española contenía una regulación no excesivamente restrictiva -para ese momento histórico- del derecho de voto de las personas con discapacidad, en base al requisito de la necesidad de una resolución judicial específica que declarara de forma expresa la incapacidad de las personas con discapacidad para el ejercicio del derecho de sufragio. </w:t>
      </w:r>
    </w:p>
    <w:p w:rsidR="00F42FC0" w:rsidRDefault="00F42FC0" w:rsidP="00CC01B7">
      <w:pPr>
        <w:spacing w:after="0"/>
        <w:rPr>
          <w:rFonts w:ascii="Arial" w:hAnsi="Arial" w:cs="Arial"/>
        </w:rPr>
      </w:pPr>
    </w:p>
    <w:p w:rsidR="000C533F" w:rsidRPr="00032D45" w:rsidRDefault="00F42FC0" w:rsidP="00CC01B7">
      <w:pPr>
        <w:spacing w:after="0"/>
        <w:rPr>
          <w:rFonts w:ascii="Arial" w:hAnsi="Arial" w:cs="Arial"/>
        </w:rPr>
      </w:pPr>
      <w:r>
        <w:rPr>
          <w:rFonts w:ascii="Arial" w:hAnsi="Arial" w:cs="Arial"/>
        </w:rPr>
        <w:t xml:space="preserve">En los años posteriores, </w:t>
      </w:r>
      <w:r w:rsidR="000C533F" w:rsidRPr="00032D45">
        <w:rPr>
          <w:rFonts w:ascii="Arial" w:hAnsi="Arial" w:cs="Arial"/>
        </w:rPr>
        <w:t>la regulación de los derechos de las personas con discapacidad en nuestro país experiment</w:t>
      </w:r>
      <w:r>
        <w:rPr>
          <w:rFonts w:ascii="Arial" w:hAnsi="Arial" w:cs="Arial"/>
        </w:rPr>
        <w:t>ó</w:t>
      </w:r>
      <w:r w:rsidR="000C533F" w:rsidRPr="00032D45">
        <w:rPr>
          <w:rFonts w:ascii="Arial" w:hAnsi="Arial" w:cs="Arial"/>
        </w:rPr>
        <w:t xml:space="preserve"> un relevante desarrollo. Así, la </w:t>
      </w:r>
      <w:r w:rsidR="000C533F" w:rsidRPr="00032D45">
        <w:rPr>
          <w:rFonts w:ascii="Arial" w:hAnsi="Arial" w:cs="Arial"/>
          <w:i/>
        </w:rPr>
        <w:t>Ley 51/2003, de 2 de diciembre, de igualdad de oportunidades, no discriminación y accesibilidad universal de las personas con discapacidad (LIONDAU)</w:t>
      </w:r>
      <w:r w:rsidR="000C533F" w:rsidRPr="00032D45">
        <w:rPr>
          <w:rFonts w:ascii="Arial" w:hAnsi="Arial" w:cs="Arial"/>
        </w:rPr>
        <w:t xml:space="preserve"> recogió la necesidad de regular los derechos políticos de las personas con discapacidad, motivo por el que su Disposición Final Quinta contenía ya un mandato dirigido al Gobierno para el establecimiento de las condiciones básicas de accesibilidad y no discriminación que </w:t>
      </w:r>
      <w:r w:rsidR="000C533F" w:rsidRPr="00032D45">
        <w:rPr>
          <w:rFonts w:ascii="Arial" w:hAnsi="Arial" w:cs="Arial"/>
        </w:rPr>
        <w:lastRenderedPageBreak/>
        <w:t>deben reunir los entornos, productos y servicios necesarios para la participación de las personas con discapacidad en la vida política y en los procesos electorales</w:t>
      </w:r>
      <w:r w:rsidR="0052568C" w:rsidRPr="00032D45">
        <w:rPr>
          <w:rStyle w:val="Refdenotaalpie"/>
          <w:rFonts w:ascii="Arial" w:hAnsi="Arial" w:cs="Arial"/>
        </w:rPr>
        <w:footnoteReference w:id="39"/>
      </w:r>
      <w:r w:rsidR="000C533F" w:rsidRPr="00032D45">
        <w:rPr>
          <w:rFonts w:ascii="Arial" w:hAnsi="Arial" w:cs="Arial"/>
        </w:rPr>
        <w:t>.</w:t>
      </w:r>
    </w:p>
    <w:p w:rsidR="000C533F" w:rsidRPr="00032D45" w:rsidRDefault="000C533F" w:rsidP="00CC01B7">
      <w:pPr>
        <w:spacing w:after="0"/>
        <w:ind w:firstLine="708"/>
        <w:rPr>
          <w:rFonts w:ascii="Arial" w:hAnsi="Arial" w:cs="Arial"/>
        </w:rPr>
      </w:pPr>
    </w:p>
    <w:p w:rsidR="000C533F" w:rsidRPr="00032D45" w:rsidRDefault="00A45D6C" w:rsidP="00CC01B7">
      <w:pPr>
        <w:spacing w:after="0"/>
        <w:rPr>
          <w:rFonts w:ascii="Arial" w:hAnsi="Arial" w:cs="Arial"/>
        </w:rPr>
      </w:pPr>
      <w:r w:rsidRPr="00032D45">
        <w:rPr>
          <w:rFonts w:ascii="Arial" w:hAnsi="Arial" w:cs="Arial"/>
        </w:rPr>
        <w:t>A pesar de que se aprobaron diversas normas sobre los derechos de participación política de personas con discapacidad, sin embargo</w:t>
      </w:r>
      <w:r w:rsidR="0052568C" w:rsidRPr="00032D45">
        <w:rPr>
          <w:rFonts w:ascii="Arial" w:hAnsi="Arial" w:cs="Arial"/>
        </w:rPr>
        <w:t>, hubo que esperar</w:t>
      </w:r>
      <w:r w:rsidR="000C533F" w:rsidRPr="00032D45">
        <w:rPr>
          <w:rFonts w:ascii="Arial" w:hAnsi="Arial" w:cs="Arial"/>
        </w:rPr>
        <w:t xml:space="preserve"> hasta la aprobación del </w:t>
      </w:r>
      <w:r w:rsidR="000C533F" w:rsidRPr="00032D45">
        <w:rPr>
          <w:rFonts w:ascii="Arial" w:hAnsi="Arial" w:cs="Arial"/>
          <w:i/>
        </w:rPr>
        <w:t>Real Decreto 422/2011, de 25 de marzo, por el que se aprueba el Reglamento sobre las condiciones básicas para la participación de las personas con discapacidad en la vida política y en los procesos electorales</w:t>
      </w:r>
      <w:r w:rsidR="000C533F" w:rsidRPr="00032D45">
        <w:rPr>
          <w:rFonts w:ascii="Arial" w:hAnsi="Arial" w:cs="Arial"/>
        </w:rPr>
        <w:t xml:space="preserve">, </w:t>
      </w:r>
      <w:r w:rsidR="00C61601">
        <w:rPr>
          <w:rFonts w:ascii="Arial" w:hAnsi="Arial" w:cs="Arial"/>
        </w:rPr>
        <w:t xml:space="preserve">para que la </w:t>
      </w:r>
      <w:r w:rsidR="000C533F" w:rsidRPr="00032D45">
        <w:rPr>
          <w:rFonts w:ascii="Arial" w:hAnsi="Arial" w:cs="Arial"/>
        </w:rPr>
        <w:t>normativa española regul</w:t>
      </w:r>
      <w:r w:rsidR="00C61601">
        <w:rPr>
          <w:rFonts w:ascii="Arial" w:hAnsi="Arial" w:cs="Arial"/>
        </w:rPr>
        <w:t>ara</w:t>
      </w:r>
      <w:r w:rsidR="000C533F" w:rsidRPr="00032D45">
        <w:rPr>
          <w:rFonts w:ascii="Arial" w:hAnsi="Arial" w:cs="Arial"/>
        </w:rPr>
        <w:t xml:space="preserve"> de man</w:t>
      </w:r>
      <w:r w:rsidR="00AA2695" w:rsidRPr="00032D45">
        <w:rPr>
          <w:rFonts w:ascii="Arial" w:hAnsi="Arial" w:cs="Arial"/>
        </w:rPr>
        <w:t>era más completa</w:t>
      </w:r>
      <w:r w:rsidR="00C61601">
        <w:rPr>
          <w:rFonts w:ascii="Arial" w:hAnsi="Arial" w:cs="Arial"/>
        </w:rPr>
        <w:t xml:space="preserve"> los derechos de participación de las personas con discapacidad, </w:t>
      </w:r>
      <w:r w:rsidR="00AA2695" w:rsidRPr="00032D45">
        <w:rPr>
          <w:rFonts w:ascii="Arial" w:hAnsi="Arial" w:cs="Arial"/>
        </w:rPr>
        <w:t>aunque</w:t>
      </w:r>
      <w:r w:rsidR="000C533F" w:rsidRPr="00032D45">
        <w:rPr>
          <w:rFonts w:ascii="Arial" w:hAnsi="Arial" w:cs="Arial"/>
        </w:rPr>
        <w:t xml:space="preserve"> </w:t>
      </w:r>
      <w:r w:rsidR="00C61601">
        <w:rPr>
          <w:rFonts w:ascii="Arial" w:hAnsi="Arial" w:cs="Arial"/>
        </w:rPr>
        <w:t xml:space="preserve">aun </w:t>
      </w:r>
      <w:r w:rsidR="000C533F" w:rsidRPr="00032D45">
        <w:rPr>
          <w:rFonts w:ascii="Arial" w:hAnsi="Arial" w:cs="Arial"/>
        </w:rPr>
        <w:t xml:space="preserve">principalmente enfocada </w:t>
      </w:r>
      <w:r w:rsidR="0052568C" w:rsidRPr="00032D45">
        <w:rPr>
          <w:rFonts w:ascii="Arial" w:hAnsi="Arial" w:cs="Arial"/>
        </w:rPr>
        <w:t>–como la normativa precedente-</w:t>
      </w:r>
      <w:r w:rsidR="00F801F3" w:rsidRPr="00032D45">
        <w:rPr>
          <w:rFonts w:ascii="Arial" w:hAnsi="Arial" w:cs="Arial"/>
        </w:rPr>
        <w:t xml:space="preserve"> </w:t>
      </w:r>
      <w:r w:rsidR="000C533F" w:rsidRPr="00032D45">
        <w:rPr>
          <w:rFonts w:ascii="Arial" w:hAnsi="Arial" w:cs="Arial"/>
        </w:rPr>
        <w:t xml:space="preserve">a </w:t>
      </w:r>
      <w:r w:rsidR="00123AF3" w:rsidRPr="00032D45">
        <w:rPr>
          <w:rFonts w:ascii="Arial" w:hAnsi="Arial" w:cs="Arial"/>
        </w:rPr>
        <w:t>mejorar</w:t>
      </w:r>
      <w:r w:rsidR="000C533F" w:rsidRPr="00032D45">
        <w:rPr>
          <w:rFonts w:ascii="Arial" w:hAnsi="Arial" w:cs="Arial"/>
        </w:rPr>
        <w:t xml:space="preserve"> las condiciones de accesibilidad </w:t>
      </w:r>
      <w:r w:rsidR="00123AF3" w:rsidRPr="00032D45">
        <w:rPr>
          <w:rFonts w:ascii="Arial" w:hAnsi="Arial" w:cs="Arial"/>
        </w:rPr>
        <w:t>física</w:t>
      </w:r>
      <w:r w:rsidR="000C533F" w:rsidRPr="00032D45">
        <w:rPr>
          <w:rFonts w:ascii="Arial" w:hAnsi="Arial" w:cs="Arial"/>
        </w:rPr>
        <w:t>.</w:t>
      </w:r>
    </w:p>
    <w:p w:rsidR="000C533F" w:rsidRPr="00032D45" w:rsidRDefault="000C533F" w:rsidP="00CC01B7">
      <w:pPr>
        <w:spacing w:after="0"/>
        <w:ind w:firstLine="708"/>
        <w:rPr>
          <w:rFonts w:ascii="Arial" w:hAnsi="Arial" w:cs="Arial"/>
        </w:rPr>
      </w:pPr>
    </w:p>
    <w:p w:rsidR="000C533F" w:rsidRPr="00032D45" w:rsidRDefault="000C533F" w:rsidP="00CC01B7">
      <w:pPr>
        <w:spacing w:after="0"/>
        <w:rPr>
          <w:rFonts w:ascii="Arial" w:hAnsi="Arial" w:cs="Arial"/>
          <w:bCs/>
        </w:rPr>
      </w:pPr>
      <w:r w:rsidRPr="00032D45">
        <w:rPr>
          <w:rFonts w:ascii="Arial" w:hAnsi="Arial" w:cs="Arial"/>
        </w:rPr>
        <w:t xml:space="preserve">Esta norma de 2011 ya sería aprobada después de la entrada en vigor en 2008 de la Convención sobre los Derechos de las Personas con Discapacidad. El nuevo enfoque basado en los derechos humanos de que hacía gala la Convención iba a exigir una readaptación y adecuación del marco legal español al flamante tratado internacional, lo que se materializó en 2011 con la aprobación de la </w:t>
      </w:r>
      <w:r w:rsidRPr="00032D45">
        <w:rPr>
          <w:rFonts w:ascii="Arial" w:hAnsi="Arial" w:cs="Arial"/>
          <w:bCs/>
          <w:i/>
        </w:rPr>
        <w:t>Ley 26/2011, de 1 de agosto, de adaptación normativa a la Convención Internacional sobre los Derechos de las Personas con Discapacidad,</w:t>
      </w:r>
      <w:r w:rsidRPr="00032D45">
        <w:rPr>
          <w:rFonts w:ascii="Arial" w:hAnsi="Arial" w:cs="Arial"/>
          <w:b/>
          <w:bCs/>
        </w:rPr>
        <w:t xml:space="preserve"> </w:t>
      </w:r>
      <w:r w:rsidRPr="00032D45">
        <w:rPr>
          <w:rFonts w:ascii="Arial" w:hAnsi="Arial" w:cs="Arial"/>
          <w:bCs/>
        </w:rPr>
        <w:t xml:space="preserve">que recogió el marco legal de los derechos de las personas con discapacidad en cierta consonancia con los términos establecidos en la Convención, y que en materia de derechos políticos también conllevó ciertas modificaciones legales de la LIONDAU, sobre todo, </w:t>
      </w:r>
      <w:r w:rsidR="00123AF3" w:rsidRPr="00032D45">
        <w:rPr>
          <w:rFonts w:ascii="Arial" w:hAnsi="Arial" w:cs="Arial"/>
          <w:bCs/>
        </w:rPr>
        <w:t xml:space="preserve">nuevamente, </w:t>
      </w:r>
      <w:r w:rsidRPr="00032D45">
        <w:rPr>
          <w:rFonts w:ascii="Arial" w:hAnsi="Arial" w:cs="Arial"/>
          <w:bCs/>
        </w:rPr>
        <w:t xml:space="preserve">en lo que respecta a la accesibilidad </w:t>
      </w:r>
      <w:r w:rsidR="00123AF3" w:rsidRPr="00032D45">
        <w:rPr>
          <w:rFonts w:ascii="Arial" w:hAnsi="Arial" w:cs="Arial"/>
          <w:bCs/>
        </w:rPr>
        <w:t xml:space="preserve">física </w:t>
      </w:r>
      <w:r w:rsidRPr="00032D45">
        <w:rPr>
          <w:rFonts w:ascii="Arial" w:hAnsi="Arial" w:cs="Arial"/>
          <w:bCs/>
        </w:rPr>
        <w:t>de las personas con discapacidad.</w:t>
      </w:r>
      <w:r w:rsidR="00123AF3" w:rsidRPr="00032D45">
        <w:rPr>
          <w:rFonts w:ascii="Arial" w:hAnsi="Arial" w:cs="Arial"/>
          <w:bCs/>
        </w:rPr>
        <w:t xml:space="preserve"> </w:t>
      </w:r>
    </w:p>
    <w:p w:rsidR="000C533F" w:rsidRPr="00032D45" w:rsidRDefault="000C533F" w:rsidP="00CC01B7">
      <w:pPr>
        <w:spacing w:after="0"/>
        <w:ind w:firstLine="708"/>
        <w:rPr>
          <w:rFonts w:ascii="Arial" w:hAnsi="Arial" w:cs="Arial"/>
        </w:rPr>
      </w:pPr>
    </w:p>
    <w:p w:rsidR="009B203D" w:rsidRPr="00032D45" w:rsidRDefault="000C533F" w:rsidP="00CC01B7">
      <w:pPr>
        <w:spacing w:after="0"/>
        <w:rPr>
          <w:rFonts w:ascii="Arial" w:hAnsi="Arial" w:cs="Arial"/>
          <w:b/>
        </w:rPr>
      </w:pPr>
      <w:r w:rsidRPr="00032D45">
        <w:rPr>
          <w:rFonts w:ascii="Arial" w:hAnsi="Arial" w:cs="Arial"/>
        </w:rPr>
        <w:t xml:space="preserve">En la actualidad, el marco legal general de los derechos de las personas con discapacidad queda enmarcado en el </w:t>
      </w:r>
      <w:r w:rsidRPr="00032D45">
        <w:rPr>
          <w:rFonts w:ascii="Arial" w:hAnsi="Arial" w:cs="Arial"/>
          <w:i/>
        </w:rPr>
        <w:t>Real Decreto-Legislativo 1/2013, de 29 de noviembre, por el que se aprueba el Texto Refundido de la Ley General de derechos de las personas con discapacidad y de su inclusión social, BOE de 3 de diciembre de 2013</w:t>
      </w:r>
      <w:r w:rsidRPr="00032D45">
        <w:rPr>
          <w:rFonts w:ascii="Arial" w:hAnsi="Arial" w:cs="Arial"/>
        </w:rPr>
        <w:t xml:space="preserve">. Esta Ley incluye como derechos de las personas con discapacidad en los artículos 53 y 54 </w:t>
      </w:r>
      <w:r w:rsidR="00E9604C" w:rsidRPr="00032D45">
        <w:rPr>
          <w:rFonts w:ascii="Arial" w:hAnsi="Arial" w:cs="Arial"/>
        </w:rPr>
        <w:t xml:space="preserve">el derecho de participación en la vida política y pública </w:t>
      </w:r>
      <w:r w:rsidR="00E9604C" w:rsidRPr="00032D45">
        <w:rPr>
          <w:rFonts w:ascii="Arial" w:hAnsi="Arial" w:cs="Arial"/>
          <w:i/>
        </w:rPr>
        <w:t>“en igualdad de condiciones que el resto de ciudadanos conforme a la normativa en vigor</w:t>
      </w:r>
      <w:r w:rsidR="00E9604C" w:rsidRPr="00032D45">
        <w:rPr>
          <w:rFonts w:ascii="Arial" w:hAnsi="Arial" w:cs="Arial"/>
        </w:rPr>
        <w:t>”</w:t>
      </w:r>
      <w:r w:rsidR="009B203D" w:rsidRPr="00032D45">
        <w:rPr>
          <w:rFonts w:ascii="Arial" w:hAnsi="Arial" w:cs="Arial"/>
        </w:rPr>
        <w:t xml:space="preserve">; </w:t>
      </w:r>
      <w:r w:rsidR="003C698B" w:rsidRPr="00032D45">
        <w:rPr>
          <w:rFonts w:ascii="Arial" w:hAnsi="Arial" w:cs="Arial"/>
        </w:rPr>
        <w:t xml:space="preserve">no obstante, </w:t>
      </w:r>
      <w:r w:rsidR="009B203D" w:rsidRPr="00032D45">
        <w:rPr>
          <w:rFonts w:ascii="Arial" w:hAnsi="Arial" w:cs="Arial"/>
        </w:rPr>
        <w:t>e</w:t>
      </w:r>
      <w:r w:rsidRPr="00032D45">
        <w:rPr>
          <w:rFonts w:ascii="Arial" w:hAnsi="Arial" w:cs="Arial"/>
        </w:rPr>
        <w:t>st</w:t>
      </w:r>
      <w:r w:rsidR="00E9604C" w:rsidRPr="00032D45">
        <w:rPr>
          <w:rFonts w:ascii="Arial" w:hAnsi="Arial" w:cs="Arial"/>
        </w:rPr>
        <w:t xml:space="preserve">a regulación viene a </w:t>
      </w:r>
      <w:r w:rsidRPr="00032D45">
        <w:rPr>
          <w:rFonts w:ascii="Arial" w:hAnsi="Arial" w:cs="Arial"/>
        </w:rPr>
        <w:t>s</w:t>
      </w:r>
      <w:r w:rsidR="00E9604C" w:rsidRPr="00032D45">
        <w:rPr>
          <w:rFonts w:ascii="Arial" w:hAnsi="Arial" w:cs="Arial"/>
        </w:rPr>
        <w:t>o</w:t>
      </w:r>
      <w:r w:rsidRPr="00032D45">
        <w:rPr>
          <w:rFonts w:ascii="Arial" w:hAnsi="Arial" w:cs="Arial"/>
        </w:rPr>
        <w:t>stene</w:t>
      </w:r>
      <w:r w:rsidR="00E9604C" w:rsidRPr="00032D45">
        <w:rPr>
          <w:rFonts w:ascii="Arial" w:hAnsi="Arial" w:cs="Arial"/>
        </w:rPr>
        <w:t>r</w:t>
      </w:r>
      <w:r w:rsidRPr="00032D45">
        <w:rPr>
          <w:rFonts w:ascii="Arial" w:hAnsi="Arial" w:cs="Arial"/>
        </w:rPr>
        <w:t xml:space="preserve"> y apoya</w:t>
      </w:r>
      <w:r w:rsidR="00E9604C" w:rsidRPr="00032D45">
        <w:rPr>
          <w:rFonts w:ascii="Arial" w:hAnsi="Arial" w:cs="Arial"/>
        </w:rPr>
        <w:t>r</w:t>
      </w:r>
      <w:r w:rsidRPr="00032D45">
        <w:rPr>
          <w:rFonts w:ascii="Arial" w:hAnsi="Arial" w:cs="Arial"/>
        </w:rPr>
        <w:t xml:space="preserve"> las restricciones al derecho de voto de las personas con discapacidad que aún hoy existen desde la Ley de Régimen Electoral de 1985.</w:t>
      </w:r>
      <w:r w:rsidRPr="00032D45">
        <w:rPr>
          <w:rFonts w:ascii="Arial" w:hAnsi="Arial" w:cs="Arial"/>
          <w:b/>
        </w:rPr>
        <w:t xml:space="preserve"> </w:t>
      </w:r>
    </w:p>
    <w:p w:rsidR="00840000" w:rsidRPr="00032D45" w:rsidRDefault="00840000" w:rsidP="00CC01B7">
      <w:pPr>
        <w:spacing w:after="0"/>
        <w:rPr>
          <w:rFonts w:ascii="Arial" w:hAnsi="Arial" w:cs="Arial"/>
          <w:b/>
        </w:rPr>
      </w:pPr>
    </w:p>
    <w:p w:rsidR="009B59C3" w:rsidRPr="00032D45" w:rsidRDefault="00F801F3" w:rsidP="00CC01B7">
      <w:pPr>
        <w:spacing w:after="0"/>
        <w:rPr>
          <w:rFonts w:ascii="Arial" w:hAnsi="Arial" w:cs="Arial"/>
        </w:rPr>
      </w:pPr>
      <w:r w:rsidRPr="00032D45">
        <w:rPr>
          <w:rFonts w:ascii="Arial" w:hAnsi="Arial" w:cs="Arial"/>
        </w:rPr>
        <w:t xml:space="preserve">De igual modo, resulta fundamental </w:t>
      </w:r>
      <w:r w:rsidR="006D297D" w:rsidRPr="00032D45">
        <w:rPr>
          <w:rFonts w:ascii="Arial" w:hAnsi="Arial" w:cs="Arial"/>
        </w:rPr>
        <w:t>analizar el desarrollo jurisprudencial que, en el plano nacional, ha experimentado el derecho de voto de las personas con discapacidad tras la ratificación por parte de España de la Convención de 2006</w:t>
      </w:r>
      <w:r w:rsidR="00840000" w:rsidRPr="00032D45">
        <w:rPr>
          <w:rFonts w:ascii="Arial" w:hAnsi="Arial" w:cs="Arial"/>
        </w:rPr>
        <w:t>.</w:t>
      </w:r>
      <w:r w:rsidR="006D297D" w:rsidRPr="00032D45">
        <w:rPr>
          <w:rFonts w:ascii="Arial" w:hAnsi="Arial" w:cs="Arial"/>
        </w:rPr>
        <w:t xml:space="preserve"> Sin duda, guiados por la labor del Tribunal Europeo de Derechos Humanos, </w:t>
      </w:r>
      <w:r w:rsidRPr="00032D45">
        <w:rPr>
          <w:rFonts w:ascii="Arial" w:hAnsi="Arial" w:cs="Arial"/>
        </w:rPr>
        <w:t>superando ampliamente el enfoque todavía restrictivo de nuestro legislado</w:t>
      </w:r>
      <w:r w:rsidR="00DB7067" w:rsidRPr="00032D45">
        <w:rPr>
          <w:rFonts w:ascii="Arial" w:hAnsi="Arial" w:cs="Arial"/>
        </w:rPr>
        <w:t>r</w:t>
      </w:r>
      <w:r w:rsidRPr="00032D45">
        <w:rPr>
          <w:rFonts w:ascii="Arial" w:hAnsi="Arial" w:cs="Arial"/>
        </w:rPr>
        <w:t xml:space="preserve">, </w:t>
      </w:r>
      <w:r w:rsidR="006D297D" w:rsidRPr="00032D45">
        <w:rPr>
          <w:rFonts w:ascii="Arial" w:hAnsi="Arial" w:cs="Arial"/>
        </w:rPr>
        <w:t xml:space="preserve">los tribunales españoles están abriendo camino –aún no de manera generalizada- para </w:t>
      </w:r>
      <w:r w:rsidRPr="00032D45">
        <w:rPr>
          <w:rFonts w:ascii="Arial" w:hAnsi="Arial" w:cs="Arial"/>
        </w:rPr>
        <w:t>un</w:t>
      </w:r>
      <w:r w:rsidR="006D297D" w:rsidRPr="00032D45">
        <w:rPr>
          <w:rFonts w:ascii="Arial" w:hAnsi="Arial" w:cs="Arial"/>
        </w:rPr>
        <w:t xml:space="preserve"> desarrollo</w:t>
      </w:r>
      <w:r w:rsidRPr="00032D45">
        <w:rPr>
          <w:rFonts w:ascii="Arial" w:hAnsi="Arial" w:cs="Arial"/>
        </w:rPr>
        <w:t xml:space="preserve"> </w:t>
      </w:r>
      <w:r w:rsidRPr="00032D45">
        <w:rPr>
          <w:rFonts w:ascii="Arial" w:hAnsi="Arial" w:cs="Arial"/>
        </w:rPr>
        <w:lastRenderedPageBreak/>
        <w:t>más adecuado</w:t>
      </w:r>
      <w:r w:rsidR="006D297D" w:rsidRPr="00032D45">
        <w:rPr>
          <w:rFonts w:ascii="Arial" w:hAnsi="Arial" w:cs="Arial"/>
        </w:rPr>
        <w:t xml:space="preserve"> y </w:t>
      </w:r>
      <w:r w:rsidRPr="00032D45">
        <w:rPr>
          <w:rFonts w:ascii="Arial" w:hAnsi="Arial" w:cs="Arial"/>
        </w:rPr>
        <w:t xml:space="preserve">un efectivo </w:t>
      </w:r>
      <w:r w:rsidR="006D297D" w:rsidRPr="00032D45">
        <w:rPr>
          <w:rFonts w:ascii="Arial" w:hAnsi="Arial" w:cs="Arial"/>
        </w:rPr>
        <w:t xml:space="preserve">cumplimiento </w:t>
      </w:r>
      <w:r w:rsidRPr="00032D45">
        <w:rPr>
          <w:rFonts w:ascii="Arial" w:hAnsi="Arial" w:cs="Arial"/>
        </w:rPr>
        <w:t xml:space="preserve">del </w:t>
      </w:r>
      <w:r w:rsidR="006D297D" w:rsidRPr="00032D45">
        <w:rPr>
          <w:rFonts w:ascii="Arial" w:hAnsi="Arial" w:cs="Arial"/>
        </w:rPr>
        <w:t>derecho</w:t>
      </w:r>
      <w:r w:rsidRPr="00032D45">
        <w:rPr>
          <w:rFonts w:ascii="Arial" w:hAnsi="Arial" w:cs="Arial"/>
        </w:rPr>
        <w:t xml:space="preserve"> de voto de las personas con discapacidad, en especial, de aquellas con discapacidad psíquica o intelectual</w:t>
      </w:r>
      <w:r w:rsidR="006D297D" w:rsidRPr="00032D45">
        <w:rPr>
          <w:rFonts w:ascii="Arial" w:hAnsi="Arial" w:cs="Arial"/>
        </w:rPr>
        <w:t>.</w:t>
      </w:r>
      <w:r w:rsidR="009B59C3" w:rsidRPr="00032D45">
        <w:rPr>
          <w:rFonts w:ascii="Arial" w:hAnsi="Arial" w:cs="Arial"/>
        </w:rPr>
        <w:t xml:space="preserve"> Entre las sentencias más sobresalientes de esta innovadora tendencia jurisprudencial, debemos destacar la </w:t>
      </w:r>
      <w:r w:rsidR="009B59C3" w:rsidRPr="00032D45">
        <w:rPr>
          <w:rFonts w:ascii="Arial" w:hAnsi="Arial" w:cs="Arial"/>
          <w:i/>
        </w:rPr>
        <w:t>Sentencia de la Audiencia Provincial de Ciudad Real, de 24 de octubre de 2012</w:t>
      </w:r>
      <w:r w:rsidR="009B59C3" w:rsidRPr="00032D45">
        <w:rPr>
          <w:rFonts w:ascii="Arial" w:hAnsi="Arial" w:cs="Arial"/>
        </w:rPr>
        <w:t xml:space="preserve">, la cual, en base al artículo 23 de la Constitución Española, y el valor interpretativo del artículo 10.2 de la CE1978, establece como principio general </w:t>
      </w:r>
      <w:r w:rsidR="009B59C3" w:rsidRPr="00032D45">
        <w:rPr>
          <w:rFonts w:ascii="Arial" w:hAnsi="Arial" w:cs="Arial"/>
          <w:i/>
        </w:rPr>
        <w:t xml:space="preserve">“el derecho de toda persona discapacitada a participar en la vida política de un Estado”. </w:t>
      </w:r>
      <w:r w:rsidR="009B59C3" w:rsidRPr="00032D45">
        <w:rPr>
          <w:rFonts w:ascii="Arial" w:hAnsi="Arial" w:cs="Arial"/>
        </w:rPr>
        <w:t xml:space="preserve">Y continúa: </w:t>
      </w:r>
    </w:p>
    <w:p w:rsidR="009B59C3" w:rsidRPr="00032D45" w:rsidRDefault="009B59C3" w:rsidP="00CC01B7">
      <w:pPr>
        <w:spacing w:after="0"/>
        <w:rPr>
          <w:rFonts w:ascii="Arial" w:hAnsi="Arial" w:cs="Arial"/>
        </w:rPr>
      </w:pPr>
    </w:p>
    <w:p w:rsidR="00840000" w:rsidRPr="00032D45" w:rsidRDefault="009B59C3" w:rsidP="00CC01B7">
      <w:pPr>
        <w:spacing w:after="0"/>
        <w:rPr>
          <w:rFonts w:ascii="Arial" w:hAnsi="Arial" w:cs="Arial"/>
        </w:rPr>
      </w:pPr>
      <w:r w:rsidRPr="00032D45">
        <w:rPr>
          <w:rFonts w:ascii="Arial" w:hAnsi="Arial" w:cs="Arial"/>
        </w:rPr>
        <w:tab/>
      </w:r>
      <w:r w:rsidRPr="00032D45">
        <w:rPr>
          <w:rFonts w:ascii="Arial" w:hAnsi="Arial" w:cs="Arial"/>
          <w:i/>
        </w:rPr>
        <w:t>“[…]</w:t>
      </w:r>
      <w:r w:rsidRPr="00032D45">
        <w:rPr>
          <w:rFonts w:ascii="Arial" w:hAnsi="Arial" w:cs="Arial"/>
        </w:rPr>
        <w:t xml:space="preserve">  </w:t>
      </w:r>
      <w:r w:rsidRPr="00032D45">
        <w:rPr>
          <w:rFonts w:ascii="Arial" w:hAnsi="Arial" w:cs="Arial"/>
          <w:i/>
        </w:rPr>
        <w:t>El desconocimiento completo del sistema político español no puede suponer la pérdida del derecho de voto a una persona […] pues lo esencial es la capacidad para decidir, elegir u optar libremente y sin influencias externas en un determinado proceso electoral […] dicho ejercicio sólo requiere una manifestación de voluntad”.</w:t>
      </w:r>
    </w:p>
    <w:p w:rsidR="009B59C3" w:rsidRPr="00032D45" w:rsidRDefault="009B59C3" w:rsidP="00CC01B7">
      <w:pPr>
        <w:spacing w:after="0"/>
        <w:rPr>
          <w:rFonts w:ascii="Arial" w:hAnsi="Arial" w:cs="Arial"/>
        </w:rPr>
      </w:pPr>
    </w:p>
    <w:p w:rsidR="00FF2B7F" w:rsidRPr="00032D45" w:rsidRDefault="00FF2B7F" w:rsidP="00CC01B7">
      <w:pPr>
        <w:spacing w:after="0"/>
        <w:rPr>
          <w:rFonts w:ascii="Arial" w:hAnsi="Arial" w:cs="Arial"/>
        </w:rPr>
      </w:pPr>
      <w:r w:rsidRPr="00032D45">
        <w:rPr>
          <w:rFonts w:ascii="Arial" w:hAnsi="Arial" w:cs="Arial"/>
        </w:rPr>
        <w:t>En esta línea, también encontramos la Sentencia de la Audiencia Provincial de Barcelona, de 13 de marzo de 2014</w:t>
      </w:r>
      <w:r w:rsidR="003E6079" w:rsidRPr="00032D45">
        <w:rPr>
          <w:rStyle w:val="Refdenotaalpie"/>
          <w:rFonts w:ascii="Arial" w:hAnsi="Arial" w:cs="Arial"/>
        </w:rPr>
        <w:footnoteReference w:id="40"/>
      </w:r>
      <w:r w:rsidRPr="00032D45">
        <w:rPr>
          <w:rFonts w:ascii="Arial" w:hAnsi="Arial" w:cs="Arial"/>
        </w:rPr>
        <w:t xml:space="preserve">, que únicamente permite la privación del derecho de sufragio a una persona con discapacidad </w:t>
      </w:r>
      <w:r w:rsidRPr="00032D45">
        <w:rPr>
          <w:rFonts w:ascii="Arial" w:hAnsi="Arial" w:cs="Arial"/>
          <w:i/>
        </w:rPr>
        <w:t>“cuando haya una prueba direct</w:t>
      </w:r>
      <w:r w:rsidR="00E97489" w:rsidRPr="00032D45">
        <w:rPr>
          <w:rFonts w:ascii="Arial" w:hAnsi="Arial" w:cs="Arial"/>
          <w:i/>
        </w:rPr>
        <w:t>a</w:t>
      </w:r>
      <w:r w:rsidRPr="00032D45">
        <w:rPr>
          <w:rFonts w:ascii="Arial" w:hAnsi="Arial" w:cs="Arial"/>
          <w:i/>
        </w:rPr>
        <w:t xml:space="preserve"> y concluyente de que, en </w:t>
      </w:r>
      <w:r w:rsidR="00E97489" w:rsidRPr="00032D45">
        <w:rPr>
          <w:rFonts w:ascii="Arial" w:hAnsi="Arial" w:cs="Arial"/>
          <w:i/>
        </w:rPr>
        <w:t>el determinado momento de la votación, el discapacitado estará privado de toda razón y de todo sentido”.</w:t>
      </w:r>
      <w:r w:rsidR="00E97489" w:rsidRPr="00032D45">
        <w:rPr>
          <w:rFonts w:ascii="Arial" w:hAnsi="Arial" w:cs="Arial"/>
        </w:rPr>
        <w:t xml:space="preserve"> En consonancia con ello, la sentencia del mismo tribunal, de 5 de marzo de 2015, restablece el derecho de voto a una persona con retraso mental grave y un grado de discapacidad del 73 %, con </w:t>
      </w:r>
      <w:r w:rsidR="00E97489" w:rsidRPr="00032D45">
        <w:rPr>
          <w:rFonts w:ascii="Arial" w:hAnsi="Arial" w:cs="Arial"/>
          <w:i/>
        </w:rPr>
        <w:t>“una muy limitada capacidad intelectiva y cognitiva”</w:t>
      </w:r>
      <w:r w:rsidR="00E97489" w:rsidRPr="00032D45">
        <w:rPr>
          <w:rFonts w:ascii="Arial" w:hAnsi="Arial" w:cs="Arial"/>
        </w:rPr>
        <w:t xml:space="preserve">, teniendo como argumento central que </w:t>
      </w:r>
      <w:r w:rsidR="00E97489" w:rsidRPr="00032D45">
        <w:rPr>
          <w:rFonts w:ascii="Arial" w:hAnsi="Arial" w:cs="Arial"/>
          <w:i/>
        </w:rPr>
        <w:t>“la disminución de las facultades cognitivas o volitivas no equivalen a su ausencia, no quedando probado que la demandada tenga alterada la percepción de la realidad o perturbada su capacidad de decisión autónoma hasta el punto de no saber qué es votar”</w:t>
      </w:r>
      <w:r w:rsidR="00F131F0">
        <w:rPr>
          <w:rFonts w:ascii="Arial" w:hAnsi="Arial" w:cs="Arial"/>
          <w:i/>
        </w:rPr>
        <w:t xml:space="preserve"> </w:t>
      </w:r>
      <w:r w:rsidR="00F131F0">
        <w:rPr>
          <w:rFonts w:ascii="Arial" w:hAnsi="Arial" w:cs="Arial"/>
        </w:rPr>
        <w:t xml:space="preserve">(Martínez- </w:t>
      </w:r>
      <w:proofErr w:type="spellStart"/>
      <w:r w:rsidR="00F131F0">
        <w:rPr>
          <w:rFonts w:ascii="Arial" w:hAnsi="Arial" w:cs="Arial"/>
        </w:rPr>
        <w:t>Pujalte</w:t>
      </w:r>
      <w:proofErr w:type="spellEnd"/>
      <w:r w:rsidR="00F131F0">
        <w:rPr>
          <w:rFonts w:ascii="Arial" w:hAnsi="Arial" w:cs="Arial"/>
        </w:rPr>
        <w:t xml:space="preserve">, </w:t>
      </w:r>
      <w:r w:rsidR="002058CE">
        <w:rPr>
          <w:rFonts w:ascii="Arial" w:hAnsi="Arial" w:cs="Arial"/>
        </w:rPr>
        <w:t>2015</w:t>
      </w:r>
      <w:r w:rsidR="00F131F0">
        <w:rPr>
          <w:rFonts w:ascii="Arial" w:hAnsi="Arial" w:cs="Arial"/>
        </w:rPr>
        <w:t>: 94)</w:t>
      </w:r>
      <w:r w:rsidR="00E97489" w:rsidRPr="00032D45">
        <w:rPr>
          <w:rFonts w:ascii="Arial" w:hAnsi="Arial" w:cs="Arial"/>
          <w:i/>
        </w:rPr>
        <w:t>.</w:t>
      </w:r>
    </w:p>
    <w:p w:rsidR="00837E27" w:rsidRPr="00032D45" w:rsidRDefault="00837E27" w:rsidP="00CC01B7">
      <w:pPr>
        <w:spacing w:after="0"/>
        <w:rPr>
          <w:rFonts w:ascii="Arial" w:hAnsi="Arial" w:cs="Arial"/>
        </w:rPr>
      </w:pPr>
    </w:p>
    <w:p w:rsidR="002D23F9" w:rsidRPr="00032D45" w:rsidRDefault="003E6079" w:rsidP="00CC01B7">
      <w:pPr>
        <w:spacing w:after="0"/>
        <w:rPr>
          <w:rFonts w:ascii="Arial" w:hAnsi="Arial" w:cs="Arial"/>
        </w:rPr>
      </w:pPr>
      <w:r w:rsidRPr="00032D45">
        <w:rPr>
          <w:rFonts w:ascii="Arial" w:hAnsi="Arial" w:cs="Arial"/>
        </w:rPr>
        <w:t>Esta esperanzadora línea jurisprudencial, sin embargo, aún no constituye la tendencia generalizada entre nuestros tribunales. Subsisten sentencias estandarizadas de incapacitación que conllevan aparejadas, sin fundamentación separada e individualizada, la privación del derecho de sufragio de estas personas declaradas incapaces.</w:t>
      </w:r>
      <w:r w:rsidR="007B1FCF">
        <w:rPr>
          <w:rFonts w:ascii="Arial" w:hAnsi="Arial" w:cs="Arial"/>
        </w:rPr>
        <w:t xml:space="preserve"> L</w:t>
      </w:r>
      <w:r w:rsidR="00840000" w:rsidRPr="00032D45">
        <w:rPr>
          <w:rFonts w:ascii="Arial" w:hAnsi="Arial" w:cs="Arial"/>
        </w:rPr>
        <w:t xml:space="preserve">as </w:t>
      </w:r>
      <w:r w:rsidR="009B203D" w:rsidRPr="00032D45">
        <w:rPr>
          <w:rFonts w:ascii="Arial" w:hAnsi="Arial" w:cs="Arial"/>
        </w:rPr>
        <w:t>r</w:t>
      </w:r>
      <w:r w:rsidR="000C533F" w:rsidRPr="00032D45">
        <w:rPr>
          <w:rFonts w:ascii="Arial" w:hAnsi="Arial" w:cs="Arial"/>
        </w:rPr>
        <w:t xml:space="preserve">estricciones </w:t>
      </w:r>
      <w:r w:rsidR="009068C5" w:rsidRPr="00032D45">
        <w:rPr>
          <w:rFonts w:ascii="Arial" w:hAnsi="Arial" w:cs="Arial"/>
        </w:rPr>
        <w:t xml:space="preserve">al </w:t>
      </w:r>
      <w:r w:rsidR="000C533F" w:rsidRPr="00032D45">
        <w:rPr>
          <w:rFonts w:ascii="Arial" w:hAnsi="Arial" w:cs="Arial"/>
        </w:rPr>
        <w:t>derecho de voto de las personas con discapacidad</w:t>
      </w:r>
      <w:r w:rsidR="009068C5" w:rsidRPr="00032D45">
        <w:rPr>
          <w:rFonts w:ascii="Arial" w:hAnsi="Arial" w:cs="Arial"/>
        </w:rPr>
        <w:t xml:space="preserve"> y, en concreto, a las personas con discapacidad </w:t>
      </w:r>
      <w:r w:rsidR="00983E6C" w:rsidRPr="00032D45">
        <w:rPr>
          <w:rFonts w:ascii="Arial" w:hAnsi="Arial" w:cs="Arial"/>
        </w:rPr>
        <w:t>intelectual</w:t>
      </w:r>
      <w:r w:rsidR="009068C5" w:rsidRPr="00032D45">
        <w:rPr>
          <w:rFonts w:ascii="Arial" w:hAnsi="Arial" w:cs="Arial"/>
        </w:rPr>
        <w:t xml:space="preserve"> o psíquica, persisten aún hoy, </w:t>
      </w:r>
      <w:r w:rsidR="007B1FCF">
        <w:rPr>
          <w:rFonts w:ascii="Arial" w:hAnsi="Arial" w:cs="Arial"/>
        </w:rPr>
        <w:t xml:space="preserve">manteniendo </w:t>
      </w:r>
      <w:r w:rsidR="00840000" w:rsidRPr="00032D45">
        <w:rPr>
          <w:rFonts w:ascii="Arial" w:hAnsi="Arial" w:cs="Arial"/>
        </w:rPr>
        <w:t>como base</w:t>
      </w:r>
      <w:r w:rsidR="000C533F" w:rsidRPr="00032D45">
        <w:rPr>
          <w:rFonts w:ascii="Arial" w:hAnsi="Arial" w:cs="Arial"/>
        </w:rPr>
        <w:t xml:space="preserve"> </w:t>
      </w:r>
      <w:r w:rsidR="006D297D" w:rsidRPr="00032D45">
        <w:rPr>
          <w:rFonts w:ascii="Arial" w:hAnsi="Arial" w:cs="Arial"/>
        </w:rPr>
        <w:t>la cláusula de estilo</w:t>
      </w:r>
      <w:r w:rsidR="00F131F0">
        <w:rPr>
          <w:rFonts w:ascii="Arial" w:hAnsi="Arial" w:cs="Arial"/>
        </w:rPr>
        <w:t xml:space="preserve"> (Díaz </w:t>
      </w:r>
      <w:proofErr w:type="spellStart"/>
      <w:r w:rsidR="00F131F0">
        <w:rPr>
          <w:rFonts w:ascii="Arial" w:hAnsi="Arial" w:cs="Arial"/>
        </w:rPr>
        <w:t>Alabart</w:t>
      </w:r>
      <w:proofErr w:type="spellEnd"/>
      <w:r w:rsidR="00F131F0">
        <w:rPr>
          <w:rFonts w:ascii="Arial" w:hAnsi="Arial" w:cs="Arial"/>
        </w:rPr>
        <w:t>, 2012: 14-15)</w:t>
      </w:r>
      <w:r w:rsidR="006D297D" w:rsidRPr="00032D45">
        <w:rPr>
          <w:rFonts w:ascii="Arial" w:hAnsi="Arial" w:cs="Arial"/>
        </w:rPr>
        <w:t xml:space="preserve"> que constituye </w:t>
      </w:r>
      <w:r w:rsidR="000C533F" w:rsidRPr="00032D45">
        <w:rPr>
          <w:rFonts w:ascii="Arial" w:hAnsi="Arial" w:cs="Arial"/>
        </w:rPr>
        <w:t>el artículo 3 de la LOREG</w:t>
      </w:r>
      <w:r w:rsidR="006D297D" w:rsidRPr="00032D45">
        <w:rPr>
          <w:rFonts w:ascii="Arial" w:hAnsi="Arial" w:cs="Arial"/>
        </w:rPr>
        <w:t xml:space="preserve"> en la casi totalidad de l</w:t>
      </w:r>
      <w:r w:rsidR="00F42FC0">
        <w:rPr>
          <w:rFonts w:ascii="Arial" w:hAnsi="Arial" w:cs="Arial"/>
        </w:rPr>
        <w:t>as sentencias de incapacitación</w:t>
      </w:r>
      <w:r w:rsidR="001B6726" w:rsidRPr="00032D45">
        <w:rPr>
          <w:rFonts w:ascii="Arial" w:hAnsi="Arial" w:cs="Arial"/>
        </w:rPr>
        <w:t>.</w:t>
      </w:r>
      <w:r w:rsidR="002D23F9" w:rsidRPr="00032D45">
        <w:rPr>
          <w:rFonts w:ascii="Arial" w:hAnsi="Arial" w:cs="Arial"/>
        </w:rPr>
        <w:t xml:space="preserve"> </w:t>
      </w:r>
    </w:p>
    <w:p w:rsidR="000C533F" w:rsidRPr="00032D45" w:rsidRDefault="000C533F" w:rsidP="00CC01B7">
      <w:pPr>
        <w:spacing w:after="0"/>
        <w:ind w:firstLine="708"/>
        <w:rPr>
          <w:rFonts w:ascii="Arial" w:hAnsi="Arial" w:cs="Arial"/>
        </w:rPr>
      </w:pPr>
    </w:p>
    <w:p w:rsidR="009068C5" w:rsidRDefault="009068C5" w:rsidP="00CC01B7">
      <w:pPr>
        <w:spacing w:after="0"/>
        <w:rPr>
          <w:rFonts w:ascii="Arial" w:hAnsi="Arial" w:cs="Arial"/>
        </w:rPr>
      </w:pPr>
      <w:r w:rsidRPr="00032D45">
        <w:rPr>
          <w:rFonts w:ascii="Arial" w:hAnsi="Arial" w:cs="Arial"/>
        </w:rPr>
        <w:t>Como balance en el plano nacional</w:t>
      </w:r>
      <w:r w:rsidR="000C533F" w:rsidRPr="00032D45">
        <w:rPr>
          <w:rFonts w:ascii="Arial" w:hAnsi="Arial" w:cs="Arial"/>
        </w:rPr>
        <w:t xml:space="preserve">, </w:t>
      </w:r>
      <w:r w:rsidRPr="00032D45">
        <w:rPr>
          <w:rFonts w:ascii="Arial" w:hAnsi="Arial" w:cs="Arial"/>
        </w:rPr>
        <w:t xml:space="preserve">podemos afirmar que </w:t>
      </w:r>
      <w:r w:rsidR="000C533F" w:rsidRPr="00032D45">
        <w:rPr>
          <w:rFonts w:ascii="Arial" w:hAnsi="Arial" w:cs="Arial"/>
        </w:rPr>
        <w:t xml:space="preserve">la normativa nacional ha experimentado avances sustanciales en lo que se atiene a la mejora de las condiciones de accesibilidad de las personas con discapacidad, sobre todo, de aquellas que tienen una discapacidad física, pero sigue siendo precaria en lo que respecta a otros tipos de discapacidades, como son la intelectual, </w:t>
      </w:r>
      <w:r w:rsidR="00376D8E" w:rsidRPr="00032D45">
        <w:rPr>
          <w:rFonts w:ascii="Arial" w:hAnsi="Arial" w:cs="Arial"/>
        </w:rPr>
        <w:t>psíquica</w:t>
      </w:r>
      <w:r w:rsidR="000C533F" w:rsidRPr="00032D45">
        <w:rPr>
          <w:rFonts w:ascii="Arial" w:hAnsi="Arial" w:cs="Arial"/>
        </w:rPr>
        <w:t xml:space="preserve"> o cognitiva. </w:t>
      </w:r>
    </w:p>
    <w:p w:rsidR="00F42FC0" w:rsidRPr="00032D45" w:rsidRDefault="00F42FC0" w:rsidP="00CC01B7">
      <w:pPr>
        <w:spacing w:after="0"/>
        <w:rPr>
          <w:rFonts w:ascii="Arial" w:hAnsi="Arial" w:cs="Arial"/>
        </w:rPr>
      </w:pPr>
    </w:p>
    <w:p w:rsidR="006947DF" w:rsidRPr="00032D45" w:rsidRDefault="006947DF" w:rsidP="00CC01B7">
      <w:pPr>
        <w:spacing w:after="0"/>
        <w:rPr>
          <w:rFonts w:ascii="Arial" w:hAnsi="Arial" w:cs="Arial"/>
        </w:rPr>
      </w:pPr>
      <w:r w:rsidRPr="00032D45">
        <w:rPr>
          <w:rFonts w:ascii="Arial" w:hAnsi="Arial" w:cs="Arial"/>
        </w:rPr>
        <w:lastRenderedPageBreak/>
        <w:t>La consecuencia fáctica de nuestra legislación actual y de la aún mayoritaria práctica judicial -de desposeer del derecho de sufragio de manera automática a toda persona declarada incapaz- radica en que cerca de 80.000 personas con discapacidad psíquica e intelectual en España están privadas de su derecho de voto</w:t>
      </w:r>
      <w:r w:rsidRPr="00032D45">
        <w:rPr>
          <w:rStyle w:val="Refdenotaalpie"/>
          <w:rFonts w:ascii="Arial" w:hAnsi="Arial" w:cs="Arial"/>
        </w:rPr>
        <w:footnoteReference w:id="41"/>
      </w:r>
      <w:r w:rsidRPr="00032D45">
        <w:rPr>
          <w:rFonts w:ascii="Arial" w:hAnsi="Arial" w:cs="Arial"/>
        </w:rPr>
        <w:t xml:space="preserve"> a pesar de que existe una Convención internacional vinculante, la CDPD, en vigor en España desde 2008, que obliga a nuestras autoridades a reconocer y tomar las medidas necesarias para que todas las personas con discapacidad -sin distinción alguna- puedan ejercer su derecho al voto en los mismos términos que el resto de personas sin discapacidad. </w:t>
      </w:r>
    </w:p>
    <w:p w:rsidR="00617BD2" w:rsidRPr="00032D45" w:rsidRDefault="00617BD2" w:rsidP="00CC01B7">
      <w:pPr>
        <w:spacing w:after="0"/>
        <w:rPr>
          <w:rFonts w:ascii="Arial" w:hAnsi="Arial" w:cs="Arial"/>
        </w:rPr>
      </w:pPr>
    </w:p>
    <w:p w:rsidR="001B6726" w:rsidRPr="00032D45" w:rsidRDefault="00B737F4" w:rsidP="00CC01B7">
      <w:pPr>
        <w:spacing w:after="0"/>
        <w:rPr>
          <w:rFonts w:ascii="Arial" w:hAnsi="Arial" w:cs="Arial"/>
        </w:rPr>
      </w:pPr>
      <w:r>
        <w:rPr>
          <w:rFonts w:ascii="Arial" w:hAnsi="Arial" w:cs="Arial"/>
          <w:b/>
        </w:rPr>
        <w:t>5</w:t>
      </w:r>
      <w:r w:rsidRPr="00032D45">
        <w:rPr>
          <w:rFonts w:ascii="Arial" w:hAnsi="Arial" w:cs="Arial"/>
          <w:b/>
        </w:rPr>
        <w:t>. CON</w:t>
      </w:r>
      <w:r w:rsidR="00C61601">
        <w:rPr>
          <w:rFonts w:ascii="Arial" w:hAnsi="Arial" w:cs="Arial"/>
          <w:b/>
        </w:rPr>
        <w:t>CLUSIONES</w:t>
      </w:r>
      <w:r w:rsidR="00260B68" w:rsidRPr="00032D45">
        <w:rPr>
          <w:rFonts w:ascii="Arial" w:hAnsi="Arial" w:cs="Arial"/>
          <w:b/>
        </w:rPr>
        <w:t>.</w:t>
      </w:r>
    </w:p>
    <w:p w:rsidR="00123AF3" w:rsidRPr="00032D45" w:rsidRDefault="00123AF3" w:rsidP="00CC01B7">
      <w:pPr>
        <w:spacing w:after="0"/>
        <w:rPr>
          <w:rFonts w:ascii="Arial" w:hAnsi="Arial" w:cs="Arial"/>
        </w:rPr>
      </w:pPr>
    </w:p>
    <w:p w:rsidR="00260B68" w:rsidRPr="00032D45" w:rsidRDefault="00260B68" w:rsidP="00CC01B7">
      <w:pPr>
        <w:spacing w:after="0"/>
        <w:rPr>
          <w:rFonts w:ascii="Arial" w:hAnsi="Arial" w:cs="Arial"/>
          <w:b/>
        </w:rPr>
      </w:pPr>
      <w:r w:rsidRPr="00032D45">
        <w:rPr>
          <w:rFonts w:ascii="Arial" w:hAnsi="Arial" w:cs="Arial"/>
        </w:rPr>
        <w:t>Como con</w:t>
      </w:r>
      <w:r w:rsidR="00D06133">
        <w:rPr>
          <w:rFonts w:ascii="Arial" w:hAnsi="Arial" w:cs="Arial"/>
        </w:rPr>
        <w:t>clusión de nuestro trabajo</w:t>
      </w:r>
      <w:r w:rsidRPr="00032D45">
        <w:rPr>
          <w:rFonts w:ascii="Arial" w:hAnsi="Arial" w:cs="Arial"/>
        </w:rPr>
        <w:t xml:space="preserve">, </w:t>
      </w:r>
      <w:r w:rsidR="00D06133">
        <w:rPr>
          <w:rFonts w:ascii="Arial" w:hAnsi="Arial" w:cs="Arial"/>
        </w:rPr>
        <w:t>debemos sostener</w:t>
      </w:r>
      <w:r w:rsidR="00B570BC" w:rsidRPr="00032D45">
        <w:rPr>
          <w:rFonts w:ascii="Arial" w:hAnsi="Arial" w:cs="Arial"/>
        </w:rPr>
        <w:t xml:space="preserve"> que </w:t>
      </w:r>
      <w:r w:rsidR="00B570BC" w:rsidRPr="00032D45">
        <w:rPr>
          <w:rFonts w:ascii="Arial" w:hAnsi="Arial" w:cs="Arial"/>
          <w:b/>
        </w:rPr>
        <w:t>la LOREG debe ser re</w:t>
      </w:r>
      <w:r w:rsidR="001259FA" w:rsidRPr="00032D45">
        <w:rPr>
          <w:rFonts w:ascii="Arial" w:hAnsi="Arial" w:cs="Arial"/>
          <w:b/>
        </w:rPr>
        <w:t>formad</w:t>
      </w:r>
      <w:r w:rsidR="00F42FC0">
        <w:rPr>
          <w:rFonts w:ascii="Arial" w:hAnsi="Arial" w:cs="Arial"/>
          <w:b/>
        </w:rPr>
        <w:t>a</w:t>
      </w:r>
      <w:r w:rsidR="001259FA" w:rsidRPr="00032D45">
        <w:rPr>
          <w:rFonts w:ascii="Arial" w:hAnsi="Arial" w:cs="Arial"/>
          <w:b/>
        </w:rPr>
        <w:t xml:space="preserve"> para adecuarl</w:t>
      </w:r>
      <w:r w:rsidR="00F42FC0">
        <w:rPr>
          <w:rFonts w:ascii="Arial" w:hAnsi="Arial" w:cs="Arial"/>
          <w:b/>
        </w:rPr>
        <w:t>a</w:t>
      </w:r>
      <w:r w:rsidR="001259FA" w:rsidRPr="00032D45">
        <w:rPr>
          <w:rFonts w:ascii="Arial" w:hAnsi="Arial" w:cs="Arial"/>
          <w:b/>
        </w:rPr>
        <w:t xml:space="preserve"> al tenor, finalidad y espíritu del </w:t>
      </w:r>
      <w:r w:rsidR="00B570BC" w:rsidRPr="00032D45">
        <w:rPr>
          <w:rFonts w:ascii="Arial" w:hAnsi="Arial" w:cs="Arial"/>
          <w:b/>
        </w:rPr>
        <w:t xml:space="preserve">artículo 29 </w:t>
      </w:r>
      <w:r w:rsidR="001259FA" w:rsidRPr="00032D45">
        <w:rPr>
          <w:rFonts w:ascii="Arial" w:hAnsi="Arial" w:cs="Arial"/>
          <w:b/>
        </w:rPr>
        <w:t xml:space="preserve">(en conexión con el art. 12) </w:t>
      </w:r>
      <w:r w:rsidR="00B570BC" w:rsidRPr="00032D45">
        <w:rPr>
          <w:rFonts w:ascii="Arial" w:hAnsi="Arial" w:cs="Arial"/>
          <w:b/>
        </w:rPr>
        <w:t xml:space="preserve">de la Convención sobre los Derechos de las Personas con Discapacidad, </w:t>
      </w:r>
      <w:r w:rsidR="0068641B" w:rsidRPr="00032D45">
        <w:rPr>
          <w:rFonts w:ascii="Arial" w:hAnsi="Arial" w:cs="Arial"/>
          <w:b/>
        </w:rPr>
        <w:t>co</w:t>
      </w:r>
      <w:r w:rsidR="00B570BC" w:rsidRPr="00032D45">
        <w:rPr>
          <w:rFonts w:ascii="Arial" w:hAnsi="Arial" w:cs="Arial"/>
          <w:b/>
        </w:rPr>
        <w:t xml:space="preserve">n objeto de que España ponga fin al incumplimiento de un Tratado internacional </w:t>
      </w:r>
      <w:r w:rsidR="0068641B" w:rsidRPr="00032D45">
        <w:rPr>
          <w:rFonts w:ascii="Arial" w:hAnsi="Arial" w:cs="Arial"/>
          <w:b/>
        </w:rPr>
        <w:t xml:space="preserve">plenamente </w:t>
      </w:r>
      <w:r w:rsidR="00B570BC" w:rsidRPr="00032D45">
        <w:rPr>
          <w:rFonts w:ascii="Arial" w:hAnsi="Arial" w:cs="Arial"/>
          <w:b/>
        </w:rPr>
        <w:t>obligatorio.</w:t>
      </w:r>
      <w:r w:rsidR="001C2969" w:rsidRPr="00032D45">
        <w:rPr>
          <w:rFonts w:ascii="Arial" w:hAnsi="Arial" w:cs="Arial"/>
          <w:b/>
        </w:rPr>
        <w:t xml:space="preserve"> </w:t>
      </w:r>
      <w:r w:rsidRPr="00032D45">
        <w:rPr>
          <w:rFonts w:ascii="Arial" w:hAnsi="Arial" w:cs="Arial"/>
          <w:b/>
        </w:rPr>
        <w:t>La reforma que se propone de este precepto consistiría en reconocer, con arreglo al artículo 29 –en conexión con el artículo 12- de la Convención sobre los Derechos de las Personas con Discapacidad, el derecho de voto de todas las personas con cualquier tipo de discapacidad, en igualdad de condiciones que l</w:t>
      </w:r>
      <w:r w:rsidR="002909CC">
        <w:rPr>
          <w:rFonts w:ascii="Arial" w:hAnsi="Arial" w:cs="Arial"/>
          <w:b/>
        </w:rPr>
        <w:t>as demás, y sin discriminación</w:t>
      </w:r>
      <w:r w:rsidR="00F42FC0">
        <w:rPr>
          <w:rFonts w:ascii="Arial" w:hAnsi="Arial" w:cs="Arial"/>
          <w:b/>
        </w:rPr>
        <w:t xml:space="preserve">, eliminando, en consecuencia, </w:t>
      </w:r>
      <w:r w:rsidR="002909CC" w:rsidRPr="00032D45">
        <w:rPr>
          <w:rFonts w:ascii="Arial" w:hAnsi="Arial" w:cs="Arial"/>
          <w:b/>
        </w:rPr>
        <w:t>toda restricción al derecho de voto de las personas con discapacidad</w:t>
      </w:r>
      <w:r w:rsidR="002560C7">
        <w:rPr>
          <w:rFonts w:ascii="Arial" w:hAnsi="Arial" w:cs="Arial"/>
          <w:b/>
        </w:rPr>
        <w:t xml:space="preserve">, lo que habría de conducir </w:t>
      </w:r>
      <w:r w:rsidR="00B655E0">
        <w:rPr>
          <w:rFonts w:ascii="Arial" w:hAnsi="Arial" w:cs="Arial"/>
          <w:b/>
        </w:rPr>
        <w:t xml:space="preserve">en definitiva </w:t>
      </w:r>
      <w:r w:rsidR="002560C7">
        <w:rPr>
          <w:rFonts w:ascii="Arial" w:hAnsi="Arial" w:cs="Arial"/>
          <w:b/>
        </w:rPr>
        <w:t>a la d</w:t>
      </w:r>
      <w:r w:rsidR="002909CC" w:rsidRPr="00032D45">
        <w:rPr>
          <w:rFonts w:ascii="Arial" w:hAnsi="Arial" w:cs="Arial"/>
          <w:b/>
        </w:rPr>
        <w:t>erogación del artículo 3 de la LOREG</w:t>
      </w:r>
      <w:r w:rsidR="002909CC">
        <w:rPr>
          <w:rFonts w:ascii="Arial" w:hAnsi="Arial" w:cs="Arial"/>
          <w:b/>
        </w:rPr>
        <w:t>.</w:t>
      </w:r>
    </w:p>
    <w:p w:rsidR="00B570BC" w:rsidRPr="00032D45" w:rsidRDefault="00B570BC" w:rsidP="00CC01B7">
      <w:pPr>
        <w:spacing w:after="0"/>
        <w:rPr>
          <w:rFonts w:ascii="Arial" w:hAnsi="Arial" w:cs="Arial"/>
        </w:rPr>
      </w:pPr>
    </w:p>
    <w:p w:rsidR="000029F7" w:rsidRDefault="009E226A" w:rsidP="00CC01B7">
      <w:pPr>
        <w:spacing w:after="0"/>
        <w:rPr>
          <w:rFonts w:ascii="Arial" w:hAnsi="Arial" w:cs="Arial"/>
        </w:rPr>
      </w:pPr>
      <w:r w:rsidRPr="00032D45">
        <w:rPr>
          <w:rFonts w:ascii="Arial" w:hAnsi="Arial" w:cs="Arial"/>
        </w:rPr>
        <w:t>No obstante lo anterior</w:t>
      </w:r>
      <w:r w:rsidR="006942CB" w:rsidRPr="00032D45">
        <w:rPr>
          <w:rFonts w:ascii="Arial" w:hAnsi="Arial" w:cs="Arial"/>
        </w:rPr>
        <w:t xml:space="preserve">, </w:t>
      </w:r>
      <w:r w:rsidR="000029F7">
        <w:rPr>
          <w:rFonts w:ascii="Arial" w:hAnsi="Arial" w:cs="Arial"/>
        </w:rPr>
        <w:t xml:space="preserve">frente a esta propuesta </w:t>
      </w:r>
      <w:r w:rsidR="00DB3F1C">
        <w:rPr>
          <w:rFonts w:ascii="Arial" w:hAnsi="Arial" w:cs="Arial"/>
        </w:rPr>
        <w:t xml:space="preserve">de máximos </w:t>
      </w:r>
      <w:r w:rsidR="000029F7">
        <w:rPr>
          <w:rFonts w:ascii="Arial" w:hAnsi="Arial" w:cs="Arial"/>
        </w:rPr>
        <w:t xml:space="preserve">se alzan principios de Derecho internacional como la soberanía de los Estados, y normas y resoluciones internacionales, como </w:t>
      </w:r>
      <w:r w:rsidR="000029F7" w:rsidRPr="000029F7">
        <w:rPr>
          <w:rFonts w:ascii="Arial" w:hAnsi="Arial" w:cs="Arial"/>
        </w:rPr>
        <w:t>el artículo 25 PIDCP</w:t>
      </w:r>
      <w:r w:rsidR="00DB3F1C">
        <w:rPr>
          <w:rFonts w:ascii="Arial" w:hAnsi="Arial" w:cs="Arial"/>
        </w:rPr>
        <w:t>,</w:t>
      </w:r>
      <w:r w:rsidR="000029F7">
        <w:rPr>
          <w:rFonts w:ascii="Arial" w:hAnsi="Arial" w:cs="Arial"/>
        </w:rPr>
        <w:t xml:space="preserve"> y</w:t>
      </w:r>
      <w:r w:rsidR="000029F7" w:rsidRPr="000029F7">
        <w:rPr>
          <w:rFonts w:ascii="Arial" w:hAnsi="Arial" w:cs="Arial"/>
        </w:rPr>
        <w:t xml:space="preserve"> la </w:t>
      </w:r>
      <w:r w:rsidR="000029F7">
        <w:rPr>
          <w:rFonts w:ascii="Arial" w:hAnsi="Arial" w:cs="Arial"/>
        </w:rPr>
        <w:t xml:space="preserve">propia </w:t>
      </w:r>
      <w:r w:rsidR="000029F7" w:rsidRPr="000029F7">
        <w:rPr>
          <w:rFonts w:ascii="Arial" w:hAnsi="Arial" w:cs="Arial"/>
        </w:rPr>
        <w:t xml:space="preserve">jurisprudencia del TEDH (que, como se ha examinado, estrecha el “margen de apreciación estatal” respecto a la razonabilidad de las restricciones al ejercicio del derecho de voto de las personas con discapacidad, pero, sin embargo, -hay que decirlo- no elimina de forma categórica esta facultad de los Estados) y, por último, abundante normativa </w:t>
      </w:r>
      <w:r w:rsidR="00DB3F1C">
        <w:rPr>
          <w:rFonts w:ascii="Arial" w:hAnsi="Arial" w:cs="Arial"/>
        </w:rPr>
        <w:t xml:space="preserve">y jurisprudencia </w:t>
      </w:r>
      <w:r w:rsidR="000029F7" w:rsidRPr="000029F7">
        <w:rPr>
          <w:rFonts w:ascii="Arial" w:hAnsi="Arial" w:cs="Arial"/>
        </w:rPr>
        <w:t>nacional que con gran frecuencia restringe este derecho de sufragio a estas personas por temor a los posibles abusos y suplantación de su personalidad (Gálvez Muñoz, 2009: 82-86).</w:t>
      </w:r>
      <w:r w:rsidR="000029F7">
        <w:rPr>
          <w:rFonts w:ascii="Arial" w:hAnsi="Arial" w:cs="Arial"/>
        </w:rPr>
        <w:t xml:space="preserve"> Por tal motivo, </w:t>
      </w:r>
      <w:r w:rsidR="00D06133">
        <w:rPr>
          <w:rFonts w:ascii="Arial" w:hAnsi="Arial" w:cs="Arial"/>
        </w:rPr>
        <w:t xml:space="preserve">como </w:t>
      </w:r>
      <w:r w:rsidR="000029F7">
        <w:rPr>
          <w:rFonts w:ascii="Arial" w:hAnsi="Arial" w:cs="Arial"/>
        </w:rPr>
        <w:t xml:space="preserve">propuesta alternativa, sugerimos una reforma del </w:t>
      </w:r>
      <w:r w:rsidR="00260B68" w:rsidRPr="00032D45">
        <w:rPr>
          <w:rFonts w:ascii="Arial" w:hAnsi="Arial" w:cs="Arial"/>
        </w:rPr>
        <w:t>artículo 3 de la LOREG</w:t>
      </w:r>
      <w:r w:rsidR="000029F7">
        <w:rPr>
          <w:rFonts w:ascii="Arial" w:hAnsi="Arial" w:cs="Arial"/>
        </w:rPr>
        <w:t xml:space="preserve"> que –creemos- puede cohonestar con estos principios, normas y resoluciones</w:t>
      </w:r>
      <w:r w:rsidR="00DB3F1C">
        <w:rPr>
          <w:rFonts w:ascii="Arial" w:hAnsi="Arial" w:cs="Arial"/>
        </w:rPr>
        <w:t xml:space="preserve"> judiciales</w:t>
      </w:r>
      <w:r w:rsidR="000029F7">
        <w:rPr>
          <w:rFonts w:ascii="Arial" w:hAnsi="Arial" w:cs="Arial"/>
        </w:rPr>
        <w:t>.</w:t>
      </w:r>
    </w:p>
    <w:p w:rsidR="000029F7" w:rsidRDefault="000029F7" w:rsidP="00CC01B7">
      <w:pPr>
        <w:spacing w:after="0"/>
        <w:rPr>
          <w:rFonts w:ascii="Arial" w:hAnsi="Arial" w:cs="Arial"/>
        </w:rPr>
      </w:pPr>
    </w:p>
    <w:p w:rsidR="00A60397" w:rsidRPr="00032D45" w:rsidRDefault="009E226A" w:rsidP="00CC01B7">
      <w:pPr>
        <w:spacing w:after="0"/>
        <w:rPr>
          <w:rFonts w:ascii="Arial" w:hAnsi="Arial" w:cs="Arial"/>
        </w:rPr>
      </w:pPr>
      <w:r w:rsidRPr="00032D45">
        <w:rPr>
          <w:rFonts w:ascii="Arial" w:hAnsi="Arial" w:cs="Arial"/>
        </w:rPr>
        <w:t xml:space="preserve">Esta reforma </w:t>
      </w:r>
      <w:r w:rsidR="00D06133">
        <w:rPr>
          <w:rFonts w:ascii="Arial" w:hAnsi="Arial" w:cs="Arial"/>
        </w:rPr>
        <w:t xml:space="preserve">alternativa </w:t>
      </w:r>
      <w:r w:rsidR="00260B68" w:rsidRPr="00032D45">
        <w:rPr>
          <w:rFonts w:ascii="Arial" w:hAnsi="Arial" w:cs="Arial"/>
          <w:b/>
        </w:rPr>
        <w:t>radicaría en que la restricción al ejercicio de sufragio únicamente podría basarse en la falta absoluta de tod</w:t>
      </w:r>
      <w:r w:rsidR="00541F49" w:rsidRPr="00032D45">
        <w:rPr>
          <w:rFonts w:ascii="Arial" w:hAnsi="Arial" w:cs="Arial"/>
          <w:b/>
        </w:rPr>
        <w:t>o</w:t>
      </w:r>
      <w:r w:rsidR="00260B68" w:rsidRPr="00032D45">
        <w:rPr>
          <w:rFonts w:ascii="Arial" w:hAnsi="Arial" w:cs="Arial"/>
          <w:b/>
        </w:rPr>
        <w:t xml:space="preserve"> </w:t>
      </w:r>
      <w:r w:rsidR="00690630" w:rsidRPr="00032D45">
        <w:rPr>
          <w:rFonts w:ascii="Arial" w:hAnsi="Arial" w:cs="Arial"/>
          <w:b/>
        </w:rPr>
        <w:t xml:space="preserve">discernimiento </w:t>
      </w:r>
      <w:r w:rsidR="00541F49" w:rsidRPr="00032D45">
        <w:rPr>
          <w:rFonts w:ascii="Arial" w:hAnsi="Arial" w:cs="Arial"/>
          <w:b/>
        </w:rPr>
        <w:t>y comprensión sobre el acto de</w:t>
      </w:r>
      <w:r w:rsidR="00690630" w:rsidRPr="00032D45">
        <w:rPr>
          <w:rFonts w:ascii="Arial" w:hAnsi="Arial" w:cs="Arial"/>
          <w:b/>
        </w:rPr>
        <w:t xml:space="preserve"> votar</w:t>
      </w:r>
      <w:r w:rsidR="00260B68" w:rsidRPr="00032D45">
        <w:rPr>
          <w:rFonts w:ascii="Arial" w:hAnsi="Arial" w:cs="Arial"/>
          <w:b/>
        </w:rPr>
        <w:t>; es decir, la restricción no se basaría en la discapacidad</w:t>
      </w:r>
      <w:r w:rsidR="00690630" w:rsidRPr="00032D45">
        <w:rPr>
          <w:rFonts w:ascii="Arial" w:hAnsi="Arial" w:cs="Arial"/>
          <w:b/>
        </w:rPr>
        <w:t xml:space="preserve"> -</w:t>
      </w:r>
      <w:r w:rsidR="00260B68" w:rsidRPr="00032D45">
        <w:rPr>
          <w:rFonts w:ascii="Arial" w:hAnsi="Arial" w:cs="Arial"/>
          <w:b/>
        </w:rPr>
        <w:t>lo que está vetado por la CDPD</w:t>
      </w:r>
      <w:r w:rsidR="00690630" w:rsidRPr="00032D45">
        <w:rPr>
          <w:rFonts w:ascii="Arial" w:hAnsi="Arial" w:cs="Arial"/>
          <w:b/>
        </w:rPr>
        <w:t>-</w:t>
      </w:r>
      <w:r w:rsidR="00260B68" w:rsidRPr="00032D45">
        <w:rPr>
          <w:rFonts w:ascii="Arial" w:hAnsi="Arial" w:cs="Arial"/>
          <w:b/>
        </w:rPr>
        <w:t>,</w:t>
      </w:r>
      <w:r w:rsidR="006942CB" w:rsidRPr="00032D45">
        <w:rPr>
          <w:rFonts w:ascii="Arial" w:hAnsi="Arial" w:cs="Arial"/>
          <w:b/>
        </w:rPr>
        <w:t xml:space="preserve"> sino que respetaría el principio de “igualdad” y “no discriminación”, dado que esta </w:t>
      </w:r>
      <w:r w:rsidR="006942CB" w:rsidRPr="00032D45">
        <w:rPr>
          <w:rFonts w:ascii="Arial" w:hAnsi="Arial" w:cs="Arial"/>
          <w:b/>
          <w:i/>
        </w:rPr>
        <w:t xml:space="preserve">falta absoluta de discernimiento </w:t>
      </w:r>
      <w:r w:rsidR="00541F49" w:rsidRPr="00032D45">
        <w:rPr>
          <w:rFonts w:ascii="Arial" w:hAnsi="Arial" w:cs="Arial"/>
          <w:b/>
          <w:i/>
        </w:rPr>
        <w:t>y comprensión sobre el acto de</w:t>
      </w:r>
      <w:r w:rsidR="006942CB" w:rsidRPr="00032D45">
        <w:rPr>
          <w:rFonts w:ascii="Arial" w:hAnsi="Arial" w:cs="Arial"/>
          <w:b/>
          <w:i/>
        </w:rPr>
        <w:t xml:space="preserve"> votar</w:t>
      </w:r>
      <w:r w:rsidR="006942CB" w:rsidRPr="00032D45">
        <w:rPr>
          <w:rFonts w:ascii="Arial" w:hAnsi="Arial" w:cs="Arial"/>
          <w:b/>
        </w:rPr>
        <w:t xml:space="preserve"> se aplicaría a toda persona, y no sólo a las personas con discapacidad psíquica o intelectual.</w:t>
      </w:r>
      <w:r w:rsidR="00260B68" w:rsidRPr="00032D45">
        <w:rPr>
          <w:rFonts w:ascii="Arial" w:hAnsi="Arial" w:cs="Arial"/>
          <w:b/>
        </w:rPr>
        <w:t xml:space="preserve"> </w:t>
      </w:r>
      <w:r w:rsidR="00EB4C42" w:rsidRPr="00032D45">
        <w:rPr>
          <w:rFonts w:ascii="Arial" w:hAnsi="Arial" w:cs="Arial"/>
          <w:b/>
        </w:rPr>
        <w:t xml:space="preserve">Huelga decir que dicha privación del derecho de sufragio sólo podría adoptarse </w:t>
      </w:r>
      <w:r w:rsidR="005B4A0B" w:rsidRPr="00032D45">
        <w:rPr>
          <w:rFonts w:ascii="Arial" w:hAnsi="Arial" w:cs="Arial"/>
          <w:b/>
        </w:rPr>
        <w:t>con carácter restrictivo</w:t>
      </w:r>
      <w:r w:rsidR="00261DD8" w:rsidRPr="00032D45">
        <w:rPr>
          <w:rFonts w:ascii="Arial" w:hAnsi="Arial" w:cs="Arial"/>
          <w:b/>
        </w:rPr>
        <w:t xml:space="preserve"> y excepcional</w:t>
      </w:r>
      <w:r w:rsidR="005B4A0B" w:rsidRPr="00032D45">
        <w:rPr>
          <w:rFonts w:ascii="Arial" w:hAnsi="Arial" w:cs="Arial"/>
          <w:b/>
        </w:rPr>
        <w:t xml:space="preserve"> </w:t>
      </w:r>
      <w:r w:rsidR="00EB4C42" w:rsidRPr="00032D45">
        <w:rPr>
          <w:rFonts w:ascii="Arial" w:hAnsi="Arial" w:cs="Arial"/>
          <w:b/>
        </w:rPr>
        <w:t xml:space="preserve">por una decisión judicial concreta, tras un examen </w:t>
      </w:r>
      <w:r w:rsidR="00EB4C42" w:rsidRPr="00032D45">
        <w:rPr>
          <w:rFonts w:ascii="Arial" w:hAnsi="Arial" w:cs="Arial"/>
          <w:b/>
        </w:rPr>
        <w:lastRenderedPageBreak/>
        <w:t xml:space="preserve">individualizado de la persona, y con un pronunciamiento específico relativo al derecho de sufragio activo. </w:t>
      </w:r>
      <w:r w:rsidR="00A60397" w:rsidRPr="00032D45">
        <w:rPr>
          <w:rFonts w:ascii="Arial" w:hAnsi="Arial" w:cs="Arial"/>
        </w:rPr>
        <w:t xml:space="preserve">Además, esta propuesta sería coherente con la línea jurisprudencial, más próxima a un correcto cumplimiento de la CDPD, iniciada en España por la </w:t>
      </w:r>
      <w:r w:rsidR="00A60397" w:rsidRPr="00032D45">
        <w:rPr>
          <w:rFonts w:ascii="Arial" w:hAnsi="Arial" w:cs="Arial"/>
          <w:i/>
        </w:rPr>
        <w:t xml:space="preserve">Sentencia de la Audiencia Provincial de Ciudad Real, de 24 de octubre de 2012, </w:t>
      </w:r>
      <w:r w:rsidR="00A60397" w:rsidRPr="00032D45">
        <w:rPr>
          <w:rFonts w:ascii="Arial" w:hAnsi="Arial" w:cs="Arial"/>
        </w:rPr>
        <w:t xml:space="preserve">que –como hemos analizado en el apartado </w:t>
      </w:r>
      <w:r w:rsidR="00BA2C29" w:rsidRPr="00032D45">
        <w:rPr>
          <w:rFonts w:ascii="Arial" w:hAnsi="Arial" w:cs="Arial"/>
        </w:rPr>
        <w:t>4</w:t>
      </w:r>
      <w:r w:rsidR="00A60397" w:rsidRPr="00032D45">
        <w:rPr>
          <w:rFonts w:ascii="Arial" w:hAnsi="Arial" w:cs="Arial"/>
        </w:rPr>
        <w:t xml:space="preserve">- confirma el derecho de voto de las personas con discapacidad psíquica o intelectual, y sólo permite la restricción de este derecho </w:t>
      </w:r>
      <w:r w:rsidR="00A60397" w:rsidRPr="00032D45">
        <w:rPr>
          <w:rFonts w:ascii="Arial" w:hAnsi="Arial" w:cs="Arial"/>
          <w:i/>
        </w:rPr>
        <w:t>“cuando haya una prueba directa y concluyente de que, en el determinado momento de la votación, el discapacitado estará privado de toda razón y de todo sentido”</w:t>
      </w:r>
      <w:r w:rsidR="00F131F0" w:rsidRPr="00F131F0">
        <w:rPr>
          <w:rFonts w:ascii="Arial" w:hAnsi="Arial" w:cs="Arial"/>
        </w:rPr>
        <w:t xml:space="preserve"> </w:t>
      </w:r>
      <w:r w:rsidR="00F131F0">
        <w:rPr>
          <w:rFonts w:ascii="Arial" w:hAnsi="Arial" w:cs="Arial"/>
        </w:rPr>
        <w:t xml:space="preserve">(Martínez- </w:t>
      </w:r>
      <w:proofErr w:type="spellStart"/>
      <w:r w:rsidR="00F131F0">
        <w:rPr>
          <w:rFonts w:ascii="Arial" w:hAnsi="Arial" w:cs="Arial"/>
        </w:rPr>
        <w:t>Pujalte</w:t>
      </w:r>
      <w:proofErr w:type="spellEnd"/>
      <w:r w:rsidR="00F131F0">
        <w:rPr>
          <w:rFonts w:ascii="Arial" w:hAnsi="Arial" w:cs="Arial"/>
        </w:rPr>
        <w:t xml:space="preserve">, </w:t>
      </w:r>
      <w:r w:rsidR="00307AEF">
        <w:rPr>
          <w:rFonts w:ascii="Arial" w:hAnsi="Arial" w:cs="Arial"/>
        </w:rPr>
        <w:t>2015</w:t>
      </w:r>
      <w:r w:rsidR="00F131F0">
        <w:rPr>
          <w:rFonts w:ascii="Arial" w:hAnsi="Arial" w:cs="Arial"/>
        </w:rPr>
        <w:t>: 94)</w:t>
      </w:r>
      <w:r w:rsidR="00A60397" w:rsidRPr="00032D45">
        <w:rPr>
          <w:rFonts w:ascii="Arial" w:hAnsi="Arial" w:cs="Arial"/>
          <w:i/>
        </w:rPr>
        <w:t>,</w:t>
      </w:r>
      <w:r w:rsidR="00690630" w:rsidRPr="00032D45">
        <w:rPr>
          <w:rFonts w:ascii="Arial" w:hAnsi="Arial" w:cs="Arial"/>
          <w:i/>
        </w:rPr>
        <w:t xml:space="preserve"> </w:t>
      </w:r>
      <w:r w:rsidR="00690630" w:rsidRPr="00032D45">
        <w:rPr>
          <w:rFonts w:ascii="Arial" w:hAnsi="Arial" w:cs="Arial"/>
        </w:rPr>
        <w:t xml:space="preserve">es decir, </w:t>
      </w:r>
      <w:r w:rsidR="00690630" w:rsidRPr="00032D45">
        <w:rPr>
          <w:rFonts w:ascii="Arial" w:hAnsi="Arial" w:cs="Arial"/>
          <w:b/>
        </w:rPr>
        <w:t xml:space="preserve">cuando la persona no </w:t>
      </w:r>
      <w:r w:rsidR="005B4A0B" w:rsidRPr="00032D45">
        <w:rPr>
          <w:rFonts w:ascii="Arial" w:hAnsi="Arial" w:cs="Arial"/>
          <w:b/>
        </w:rPr>
        <w:t xml:space="preserve">pueda manifestar su voluntad ni </w:t>
      </w:r>
      <w:r w:rsidR="00690630" w:rsidRPr="00032D45">
        <w:rPr>
          <w:rFonts w:ascii="Arial" w:hAnsi="Arial" w:cs="Arial"/>
          <w:b/>
        </w:rPr>
        <w:t>tomar decisiones propias, ni autónomamente ni con apoyos, sobre el acto de votar</w:t>
      </w:r>
      <w:r w:rsidR="00A60397" w:rsidRPr="00032D45">
        <w:rPr>
          <w:rFonts w:ascii="Arial" w:hAnsi="Arial" w:cs="Arial"/>
          <w:i/>
        </w:rPr>
        <w:t>.</w:t>
      </w:r>
      <w:r w:rsidR="005B4A0B" w:rsidRPr="00032D45">
        <w:rPr>
          <w:rFonts w:ascii="Arial" w:hAnsi="Arial" w:cs="Arial"/>
        </w:rPr>
        <w:t xml:space="preserve"> En definitiva, en términos de PRESNO LINERA, cuando no presente una mínima capacidad de </w:t>
      </w:r>
      <w:r w:rsidR="005B4A0B" w:rsidRPr="00032D45">
        <w:rPr>
          <w:rFonts w:ascii="Arial" w:hAnsi="Arial" w:cs="Arial"/>
          <w:i/>
        </w:rPr>
        <w:t>“autodeterminación política”</w:t>
      </w:r>
      <w:r w:rsidR="00F131F0">
        <w:rPr>
          <w:rFonts w:ascii="Arial" w:hAnsi="Arial" w:cs="Arial"/>
          <w:i/>
        </w:rPr>
        <w:t xml:space="preserve"> </w:t>
      </w:r>
      <w:r w:rsidR="00F131F0">
        <w:rPr>
          <w:rFonts w:ascii="Arial" w:hAnsi="Arial" w:cs="Arial"/>
        </w:rPr>
        <w:t>(</w:t>
      </w:r>
      <w:proofErr w:type="spellStart"/>
      <w:r w:rsidR="00F131F0">
        <w:rPr>
          <w:rFonts w:ascii="Arial" w:hAnsi="Arial" w:cs="Arial"/>
        </w:rPr>
        <w:t>Presno</w:t>
      </w:r>
      <w:proofErr w:type="spellEnd"/>
      <w:r w:rsidR="00F131F0">
        <w:rPr>
          <w:rFonts w:ascii="Arial" w:hAnsi="Arial" w:cs="Arial"/>
        </w:rPr>
        <w:t xml:space="preserve"> Linera, 2002: 517-558)</w:t>
      </w:r>
      <w:r w:rsidR="005B4A0B" w:rsidRPr="00032D45">
        <w:rPr>
          <w:rFonts w:ascii="Arial" w:hAnsi="Arial" w:cs="Arial"/>
        </w:rPr>
        <w:t>.</w:t>
      </w:r>
    </w:p>
    <w:p w:rsidR="00A60397" w:rsidRPr="00032D45" w:rsidRDefault="00A60397" w:rsidP="00CC01B7">
      <w:pPr>
        <w:spacing w:after="0"/>
        <w:rPr>
          <w:rFonts w:ascii="Arial" w:hAnsi="Arial" w:cs="Arial"/>
          <w:i/>
        </w:rPr>
      </w:pPr>
    </w:p>
    <w:p w:rsidR="0052568C" w:rsidRPr="00032D45" w:rsidRDefault="002560C7" w:rsidP="00CC01B7">
      <w:pPr>
        <w:pStyle w:val="NormalWeb"/>
        <w:spacing w:before="0" w:beforeAutospacing="0" w:after="0" w:afterAutospacing="0" w:line="276" w:lineRule="auto"/>
        <w:rPr>
          <w:rFonts w:ascii="Arial" w:hAnsi="Arial" w:cs="Arial"/>
          <w:sz w:val="22"/>
          <w:szCs w:val="22"/>
        </w:rPr>
      </w:pPr>
      <w:r>
        <w:rPr>
          <w:rFonts w:ascii="Arial" w:hAnsi="Arial" w:cs="Arial"/>
          <w:sz w:val="22"/>
          <w:szCs w:val="22"/>
        </w:rPr>
        <w:t>Sentado lo anterior, debemos finalizar destacando</w:t>
      </w:r>
      <w:r w:rsidR="008128CD" w:rsidRPr="00032D45">
        <w:rPr>
          <w:rFonts w:ascii="Arial" w:hAnsi="Arial" w:cs="Arial"/>
          <w:sz w:val="22"/>
          <w:szCs w:val="22"/>
        </w:rPr>
        <w:t xml:space="preserve"> que</w:t>
      </w:r>
      <w:r w:rsidR="00451AC7" w:rsidRPr="00032D45">
        <w:rPr>
          <w:rFonts w:ascii="Arial" w:hAnsi="Arial" w:cs="Arial"/>
          <w:sz w:val="22"/>
          <w:szCs w:val="22"/>
        </w:rPr>
        <w:t xml:space="preserve"> </w:t>
      </w:r>
      <w:r>
        <w:rPr>
          <w:rFonts w:ascii="Arial" w:hAnsi="Arial" w:cs="Arial"/>
          <w:sz w:val="22"/>
          <w:szCs w:val="22"/>
        </w:rPr>
        <w:t xml:space="preserve">la situación normativa actual, que gira en torno al artículo 3 LOREG, mantiene </w:t>
      </w:r>
      <w:r w:rsidR="00451AC7" w:rsidRPr="00032D45">
        <w:rPr>
          <w:rFonts w:ascii="Arial" w:hAnsi="Arial" w:cs="Arial"/>
          <w:sz w:val="22"/>
          <w:szCs w:val="22"/>
        </w:rPr>
        <w:t xml:space="preserve">la </w:t>
      </w:r>
      <w:r w:rsidR="00765EA6" w:rsidRPr="00032D45">
        <w:rPr>
          <w:rFonts w:ascii="Arial" w:hAnsi="Arial" w:cs="Arial"/>
          <w:sz w:val="22"/>
          <w:szCs w:val="22"/>
        </w:rPr>
        <w:t>negación de este derecho fundamental a las personas con discapacidad</w:t>
      </w:r>
      <w:r w:rsidR="00FE2395" w:rsidRPr="00032D45">
        <w:rPr>
          <w:rFonts w:ascii="Arial" w:hAnsi="Arial" w:cs="Arial"/>
          <w:sz w:val="22"/>
          <w:szCs w:val="22"/>
        </w:rPr>
        <w:t>, en especial, a las personas con discapacidad psíquica, intelectual o cognitiva,</w:t>
      </w:r>
      <w:r w:rsidR="00765EA6" w:rsidRPr="00032D45">
        <w:rPr>
          <w:rFonts w:ascii="Arial" w:hAnsi="Arial" w:cs="Arial"/>
          <w:sz w:val="22"/>
          <w:szCs w:val="22"/>
        </w:rPr>
        <w:t xml:space="preserve"> </w:t>
      </w:r>
      <w:r>
        <w:rPr>
          <w:rFonts w:ascii="Arial" w:hAnsi="Arial" w:cs="Arial"/>
          <w:sz w:val="22"/>
          <w:szCs w:val="22"/>
        </w:rPr>
        <w:t xml:space="preserve">y </w:t>
      </w:r>
      <w:r w:rsidR="00765EA6" w:rsidRPr="00032D45">
        <w:rPr>
          <w:rFonts w:ascii="Arial" w:hAnsi="Arial" w:cs="Arial"/>
          <w:sz w:val="22"/>
          <w:szCs w:val="22"/>
        </w:rPr>
        <w:t xml:space="preserve">constituye una barrera difícilmente salvable </w:t>
      </w:r>
      <w:r w:rsidR="008128CD" w:rsidRPr="00032D45">
        <w:rPr>
          <w:rFonts w:ascii="Arial" w:hAnsi="Arial" w:cs="Arial"/>
          <w:sz w:val="22"/>
          <w:szCs w:val="22"/>
        </w:rPr>
        <w:t xml:space="preserve">para el goce pleno del </w:t>
      </w:r>
      <w:r w:rsidR="00765EA6" w:rsidRPr="00032D45">
        <w:rPr>
          <w:rFonts w:ascii="Arial" w:hAnsi="Arial" w:cs="Arial"/>
          <w:sz w:val="22"/>
          <w:szCs w:val="22"/>
        </w:rPr>
        <w:t>resto de derechos que e</w:t>
      </w:r>
      <w:r w:rsidR="00451AC7" w:rsidRPr="00032D45">
        <w:rPr>
          <w:rFonts w:ascii="Arial" w:hAnsi="Arial" w:cs="Arial"/>
          <w:sz w:val="22"/>
          <w:szCs w:val="22"/>
        </w:rPr>
        <w:t xml:space="preserve">stablece la Convención </w:t>
      </w:r>
      <w:r w:rsidR="0068641B" w:rsidRPr="00032D45">
        <w:rPr>
          <w:rFonts w:ascii="Arial" w:hAnsi="Arial" w:cs="Arial"/>
          <w:sz w:val="22"/>
          <w:szCs w:val="22"/>
        </w:rPr>
        <w:t>sobre los Derechos de las Personas con Discapacidad</w:t>
      </w:r>
      <w:r w:rsidR="00F131F0">
        <w:rPr>
          <w:rFonts w:ascii="Arial" w:hAnsi="Arial" w:cs="Arial"/>
          <w:sz w:val="22"/>
          <w:szCs w:val="22"/>
        </w:rPr>
        <w:t xml:space="preserve"> (López Medel, 2015)</w:t>
      </w:r>
      <w:r w:rsidR="00451AC7" w:rsidRPr="00032D45">
        <w:rPr>
          <w:rFonts w:ascii="Arial" w:hAnsi="Arial" w:cs="Arial"/>
          <w:sz w:val="22"/>
          <w:szCs w:val="22"/>
        </w:rPr>
        <w:t>. Este</w:t>
      </w:r>
      <w:r w:rsidR="00765EA6" w:rsidRPr="00032D45">
        <w:rPr>
          <w:rFonts w:ascii="Arial" w:hAnsi="Arial" w:cs="Arial"/>
          <w:sz w:val="22"/>
          <w:szCs w:val="22"/>
        </w:rPr>
        <w:t xml:space="preserve"> reconocimiento del derecho de voto de las personas con discapacidad, en igualdad de condiciones que el resto de ciudadanos, implicaría el pleno empoderamiento de estas personas</w:t>
      </w:r>
      <w:r w:rsidR="002A11C3" w:rsidRPr="00032D45">
        <w:rPr>
          <w:rFonts w:ascii="Arial" w:hAnsi="Arial" w:cs="Arial"/>
          <w:sz w:val="22"/>
          <w:szCs w:val="22"/>
        </w:rPr>
        <w:t>,</w:t>
      </w:r>
      <w:r w:rsidR="00451AC7" w:rsidRPr="00032D45">
        <w:rPr>
          <w:rFonts w:ascii="Arial" w:hAnsi="Arial" w:cs="Arial"/>
          <w:sz w:val="22"/>
          <w:szCs w:val="22"/>
        </w:rPr>
        <w:t xml:space="preserve"> lo que </w:t>
      </w:r>
      <w:r w:rsidR="00765EA6" w:rsidRPr="00032D45">
        <w:rPr>
          <w:rFonts w:ascii="Arial" w:hAnsi="Arial" w:cs="Arial"/>
          <w:sz w:val="22"/>
          <w:szCs w:val="22"/>
        </w:rPr>
        <w:t>les capacitaría para exigir con mayor peso e influencia sus derechos ante las administraciones públicas y las autoridades políticas.</w:t>
      </w:r>
      <w:r w:rsidR="0052568C" w:rsidRPr="00032D45">
        <w:rPr>
          <w:rFonts w:ascii="Arial" w:hAnsi="Arial" w:cs="Arial"/>
          <w:sz w:val="22"/>
          <w:szCs w:val="22"/>
        </w:rPr>
        <w:t xml:space="preserve"> </w:t>
      </w:r>
    </w:p>
    <w:p w:rsidR="0052568C" w:rsidRPr="00032D45" w:rsidRDefault="0052568C" w:rsidP="00CC01B7">
      <w:pPr>
        <w:pStyle w:val="NormalWeb"/>
        <w:spacing w:before="0" w:beforeAutospacing="0" w:after="0" w:afterAutospacing="0" w:line="276" w:lineRule="auto"/>
        <w:rPr>
          <w:rFonts w:ascii="Arial" w:hAnsi="Arial" w:cs="Arial"/>
          <w:sz w:val="22"/>
          <w:szCs w:val="22"/>
        </w:rPr>
      </w:pPr>
    </w:p>
    <w:p w:rsidR="00327F4F" w:rsidRPr="00032D45" w:rsidRDefault="00451AC7" w:rsidP="00CC01B7">
      <w:pPr>
        <w:pStyle w:val="NormalWeb"/>
        <w:spacing w:before="0" w:beforeAutospacing="0" w:after="0" w:afterAutospacing="0" w:line="276" w:lineRule="auto"/>
        <w:rPr>
          <w:rFonts w:ascii="Arial" w:hAnsi="Arial" w:cs="Arial"/>
          <w:sz w:val="22"/>
          <w:szCs w:val="22"/>
        </w:rPr>
      </w:pPr>
      <w:r w:rsidRPr="00032D45">
        <w:rPr>
          <w:rFonts w:ascii="Arial" w:hAnsi="Arial" w:cs="Arial"/>
          <w:sz w:val="22"/>
          <w:szCs w:val="22"/>
        </w:rPr>
        <w:t>En suma, s</w:t>
      </w:r>
      <w:r w:rsidR="00E8181E" w:rsidRPr="00032D45">
        <w:rPr>
          <w:rFonts w:ascii="Arial" w:hAnsi="Arial" w:cs="Arial"/>
          <w:sz w:val="22"/>
          <w:szCs w:val="22"/>
        </w:rPr>
        <w:t>i el Estado Español materializa</w:t>
      </w:r>
      <w:r w:rsidR="00247227" w:rsidRPr="00032D45">
        <w:rPr>
          <w:rFonts w:ascii="Arial" w:hAnsi="Arial" w:cs="Arial"/>
          <w:sz w:val="22"/>
          <w:szCs w:val="22"/>
        </w:rPr>
        <w:t>ra</w:t>
      </w:r>
      <w:r w:rsidR="0068641B" w:rsidRPr="00032D45">
        <w:rPr>
          <w:rFonts w:ascii="Arial" w:hAnsi="Arial" w:cs="Arial"/>
          <w:sz w:val="22"/>
          <w:szCs w:val="22"/>
        </w:rPr>
        <w:t>,</w:t>
      </w:r>
      <w:r w:rsidR="00E8181E" w:rsidRPr="00032D45">
        <w:rPr>
          <w:rFonts w:ascii="Arial" w:hAnsi="Arial" w:cs="Arial"/>
          <w:sz w:val="22"/>
          <w:szCs w:val="22"/>
        </w:rPr>
        <w:t xml:space="preserve"> </w:t>
      </w:r>
      <w:r w:rsidR="0068641B" w:rsidRPr="00032D45">
        <w:rPr>
          <w:rFonts w:ascii="Arial" w:hAnsi="Arial" w:cs="Arial"/>
          <w:sz w:val="22"/>
          <w:szCs w:val="22"/>
        </w:rPr>
        <w:t xml:space="preserve">de una vez por todas, </w:t>
      </w:r>
      <w:r w:rsidR="003B39A7" w:rsidRPr="00032D45">
        <w:rPr>
          <w:rFonts w:ascii="Arial" w:hAnsi="Arial" w:cs="Arial"/>
          <w:sz w:val="22"/>
          <w:szCs w:val="22"/>
        </w:rPr>
        <w:t>la derogación del artículo 3 de la LOREG o, al menos, llevara a cabo la</w:t>
      </w:r>
      <w:r w:rsidR="00E8181E" w:rsidRPr="00032D45">
        <w:rPr>
          <w:rFonts w:ascii="Arial" w:hAnsi="Arial" w:cs="Arial"/>
          <w:sz w:val="22"/>
          <w:szCs w:val="22"/>
        </w:rPr>
        <w:t xml:space="preserve"> reforma</w:t>
      </w:r>
      <w:r w:rsidR="0068641B" w:rsidRPr="00032D45">
        <w:rPr>
          <w:rFonts w:ascii="Arial" w:hAnsi="Arial" w:cs="Arial"/>
          <w:sz w:val="22"/>
          <w:szCs w:val="22"/>
        </w:rPr>
        <w:t xml:space="preserve"> </w:t>
      </w:r>
      <w:r w:rsidR="003B39A7" w:rsidRPr="00032D45">
        <w:rPr>
          <w:rFonts w:ascii="Arial" w:hAnsi="Arial" w:cs="Arial"/>
          <w:sz w:val="22"/>
          <w:szCs w:val="22"/>
        </w:rPr>
        <w:t>del citado precepto en los términos propuestos</w:t>
      </w:r>
      <w:r w:rsidR="00DB3F1C">
        <w:rPr>
          <w:rFonts w:ascii="Arial" w:hAnsi="Arial" w:cs="Arial"/>
          <w:sz w:val="22"/>
          <w:szCs w:val="22"/>
        </w:rPr>
        <w:t xml:space="preserve"> subsidiariamente</w:t>
      </w:r>
      <w:r w:rsidR="00E8181E" w:rsidRPr="00032D45">
        <w:rPr>
          <w:rFonts w:ascii="Arial" w:hAnsi="Arial" w:cs="Arial"/>
          <w:sz w:val="22"/>
          <w:szCs w:val="22"/>
        </w:rPr>
        <w:t>, ello significar</w:t>
      </w:r>
      <w:r w:rsidR="00247227" w:rsidRPr="00032D45">
        <w:rPr>
          <w:rFonts w:ascii="Arial" w:hAnsi="Arial" w:cs="Arial"/>
          <w:sz w:val="22"/>
          <w:szCs w:val="22"/>
        </w:rPr>
        <w:t xml:space="preserve">ía que España cumpliría </w:t>
      </w:r>
      <w:r w:rsidR="00FE2395" w:rsidRPr="00032D45">
        <w:rPr>
          <w:rFonts w:ascii="Arial" w:hAnsi="Arial" w:cs="Arial"/>
          <w:sz w:val="22"/>
          <w:szCs w:val="22"/>
        </w:rPr>
        <w:t xml:space="preserve">más adecuadamente </w:t>
      </w:r>
      <w:r w:rsidR="00247227" w:rsidRPr="00032D45">
        <w:rPr>
          <w:rFonts w:ascii="Arial" w:hAnsi="Arial" w:cs="Arial"/>
          <w:sz w:val="22"/>
          <w:szCs w:val="22"/>
        </w:rPr>
        <w:t xml:space="preserve">con el Derecho </w:t>
      </w:r>
      <w:r w:rsidR="00FE2395" w:rsidRPr="00032D45">
        <w:rPr>
          <w:rFonts w:ascii="Arial" w:hAnsi="Arial" w:cs="Arial"/>
          <w:sz w:val="22"/>
          <w:szCs w:val="22"/>
        </w:rPr>
        <w:t>i</w:t>
      </w:r>
      <w:r w:rsidR="00247227" w:rsidRPr="00032D45">
        <w:rPr>
          <w:rFonts w:ascii="Arial" w:hAnsi="Arial" w:cs="Arial"/>
          <w:sz w:val="22"/>
          <w:szCs w:val="22"/>
        </w:rPr>
        <w:t xml:space="preserve">nternacional y </w:t>
      </w:r>
      <w:r w:rsidR="00E8181E" w:rsidRPr="00032D45">
        <w:rPr>
          <w:rFonts w:ascii="Arial" w:hAnsi="Arial" w:cs="Arial"/>
          <w:sz w:val="22"/>
          <w:szCs w:val="22"/>
        </w:rPr>
        <w:t>que habr</w:t>
      </w:r>
      <w:r w:rsidR="00247227" w:rsidRPr="00032D45">
        <w:rPr>
          <w:rFonts w:ascii="Arial" w:hAnsi="Arial" w:cs="Arial"/>
          <w:sz w:val="22"/>
          <w:szCs w:val="22"/>
        </w:rPr>
        <w:t>ía</w:t>
      </w:r>
      <w:r w:rsidR="00E8181E" w:rsidRPr="00032D45">
        <w:rPr>
          <w:rFonts w:ascii="Arial" w:hAnsi="Arial" w:cs="Arial"/>
          <w:sz w:val="22"/>
          <w:szCs w:val="22"/>
        </w:rPr>
        <w:t xml:space="preserve"> dado un paso necesario para hacer efectivos los derechos de </w:t>
      </w:r>
      <w:r w:rsidR="00FE2395" w:rsidRPr="00032D45">
        <w:rPr>
          <w:rFonts w:ascii="Arial" w:hAnsi="Arial" w:cs="Arial"/>
          <w:sz w:val="22"/>
          <w:szCs w:val="22"/>
        </w:rPr>
        <w:t xml:space="preserve">todas </w:t>
      </w:r>
      <w:r w:rsidR="00E8181E" w:rsidRPr="00032D45">
        <w:rPr>
          <w:rFonts w:ascii="Arial" w:hAnsi="Arial" w:cs="Arial"/>
          <w:sz w:val="22"/>
          <w:szCs w:val="22"/>
        </w:rPr>
        <w:t>las personas con discapacidad</w:t>
      </w:r>
      <w:r w:rsidR="001259FA" w:rsidRPr="00032D45">
        <w:rPr>
          <w:rFonts w:ascii="Arial" w:hAnsi="Arial" w:cs="Arial"/>
          <w:sz w:val="22"/>
          <w:szCs w:val="22"/>
        </w:rPr>
        <w:t xml:space="preserve">, </w:t>
      </w:r>
      <w:r w:rsidR="00247227" w:rsidRPr="00032D45">
        <w:rPr>
          <w:rFonts w:ascii="Arial" w:hAnsi="Arial" w:cs="Arial"/>
          <w:sz w:val="22"/>
          <w:szCs w:val="22"/>
        </w:rPr>
        <w:t xml:space="preserve">así como, en definitiva, </w:t>
      </w:r>
      <w:r w:rsidR="00E8181E" w:rsidRPr="00032D45">
        <w:rPr>
          <w:rFonts w:ascii="Arial" w:hAnsi="Arial" w:cs="Arial"/>
          <w:sz w:val="22"/>
          <w:szCs w:val="22"/>
        </w:rPr>
        <w:t>para posicionar a nuestro país entre las democracias más avanzadas e inclusivas.</w:t>
      </w:r>
    </w:p>
    <w:p w:rsidR="0052568C" w:rsidRPr="00032D45" w:rsidRDefault="0052568C" w:rsidP="00CC01B7">
      <w:pPr>
        <w:spacing w:after="0"/>
        <w:rPr>
          <w:rFonts w:ascii="Arial" w:hAnsi="Arial" w:cs="Arial"/>
          <w:b/>
        </w:rPr>
      </w:pPr>
    </w:p>
    <w:p w:rsidR="00187102" w:rsidRPr="00032D45" w:rsidRDefault="00187102" w:rsidP="00CC01B7">
      <w:pPr>
        <w:spacing w:after="0"/>
        <w:rPr>
          <w:rFonts w:ascii="Arial" w:hAnsi="Arial" w:cs="Arial"/>
          <w:b/>
        </w:rPr>
      </w:pPr>
    </w:p>
    <w:p w:rsidR="001D0CC8" w:rsidRPr="00032D45" w:rsidRDefault="00CD5E48" w:rsidP="00CC01B7">
      <w:pPr>
        <w:spacing w:after="0"/>
        <w:rPr>
          <w:rFonts w:ascii="Arial" w:hAnsi="Arial" w:cs="Arial"/>
        </w:rPr>
      </w:pPr>
      <w:r w:rsidRPr="00032D45">
        <w:rPr>
          <w:rFonts w:ascii="Arial" w:hAnsi="Arial" w:cs="Arial"/>
          <w:b/>
        </w:rPr>
        <w:t>BIBLIOGRAFÍA</w:t>
      </w:r>
    </w:p>
    <w:p w:rsidR="0052568C" w:rsidRPr="00032D45" w:rsidRDefault="0052568C" w:rsidP="00CC01B7">
      <w:pPr>
        <w:spacing w:after="0"/>
        <w:jc w:val="both"/>
        <w:rPr>
          <w:rFonts w:ascii="Arial" w:hAnsi="Arial" w:cs="Arial"/>
        </w:rPr>
      </w:pPr>
    </w:p>
    <w:p w:rsidR="00EE6624" w:rsidRPr="00032D45" w:rsidRDefault="00EE6624" w:rsidP="00CC01B7">
      <w:pPr>
        <w:spacing w:after="0"/>
        <w:jc w:val="both"/>
        <w:rPr>
          <w:rFonts w:ascii="Arial" w:hAnsi="Arial" w:cs="Arial"/>
        </w:rPr>
      </w:pPr>
      <w:r w:rsidRPr="00032D45">
        <w:rPr>
          <w:rFonts w:ascii="Arial" w:hAnsi="Arial" w:cs="Arial"/>
        </w:rPr>
        <w:t xml:space="preserve">- </w:t>
      </w:r>
      <w:r w:rsidR="00264B93">
        <w:rPr>
          <w:rFonts w:ascii="Arial" w:hAnsi="Arial" w:cs="Arial"/>
        </w:rPr>
        <w:t>A</w:t>
      </w:r>
      <w:r w:rsidR="00264B93" w:rsidRPr="00032D45">
        <w:rPr>
          <w:rFonts w:ascii="Arial" w:hAnsi="Arial" w:cs="Arial"/>
        </w:rPr>
        <w:t xml:space="preserve">ndrés </w:t>
      </w:r>
      <w:r w:rsidR="00264B93">
        <w:rPr>
          <w:rFonts w:ascii="Arial" w:hAnsi="Arial" w:cs="Arial"/>
        </w:rPr>
        <w:t>S</w:t>
      </w:r>
      <w:r w:rsidR="00264B93" w:rsidRPr="00032D45">
        <w:rPr>
          <w:rFonts w:ascii="Arial" w:hAnsi="Arial" w:cs="Arial"/>
        </w:rPr>
        <w:t xml:space="preserve">áenz de </w:t>
      </w:r>
      <w:r w:rsidR="00264B93">
        <w:rPr>
          <w:rFonts w:ascii="Arial" w:hAnsi="Arial" w:cs="Arial"/>
        </w:rPr>
        <w:t>S</w:t>
      </w:r>
      <w:r w:rsidR="00264B93" w:rsidRPr="00032D45">
        <w:rPr>
          <w:rFonts w:ascii="Arial" w:hAnsi="Arial" w:cs="Arial"/>
        </w:rPr>
        <w:t xml:space="preserve">anta </w:t>
      </w:r>
      <w:r w:rsidR="00264B93">
        <w:rPr>
          <w:rFonts w:ascii="Arial" w:hAnsi="Arial" w:cs="Arial"/>
        </w:rPr>
        <w:t>M</w:t>
      </w:r>
      <w:r w:rsidR="00264B93" w:rsidRPr="00032D45">
        <w:rPr>
          <w:rFonts w:ascii="Arial" w:hAnsi="Arial" w:cs="Arial"/>
        </w:rPr>
        <w:t>aría</w:t>
      </w:r>
      <w:r w:rsidR="00264B93">
        <w:rPr>
          <w:rFonts w:ascii="Arial" w:hAnsi="Arial" w:cs="Arial"/>
        </w:rPr>
        <w:t>, P. (2014):</w:t>
      </w:r>
      <w:r w:rsidRPr="00032D45">
        <w:rPr>
          <w:rFonts w:ascii="Arial" w:hAnsi="Arial" w:cs="Arial"/>
        </w:rPr>
        <w:t xml:space="preserve"> </w:t>
      </w:r>
      <w:r w:rsidRPr="00032D45">
        <w:rPr>
          <w:rFonts w:ascii="Arial" w:hAnsi="Arial" w:cs="Arial"/>
          <w:i/>
        </w:rPr>
        <w:t>Sistema de Derecho Internacional Público</w:t>
      </w:r>
      <w:r w:rsidRPr="00032D45">
        <w:rPr>
          <w:rFonts w:ascii="Arial" w:hAnsi="Arial" w:cs="Arial"/>
        </w:rPr>
        <w:t xml:space="preserve">, </w:t>
      </w:r>
      <w:r w:rsidR="00264B93">
        <w:rPr>
          <w:rFonts w:ascii="Arial" w:hAnsi="Arial" w:cs="Arial"/>
        </w:rPr>
        <w:t xml:space="preserve">Pamplona, </w:t>
      </w:r>
      <w:r w:rsidRPr="00032D45">
        <w:rPr>
          <w:rFonts w:ascii="Arial" w:hAnsi="Arial" w:cs="Arial"/>
        </w:rPr>
        <w:t xml:space="preserve">Ed. </w:t>
      </w:r>
      <w:proofErr w:type="spellStart"/>
      <w:r w:rsidRPr="00032D45">
        <w:rPr>
          <w:rFonts w:ascii="Arial" w:hAnsi="Arial" w:cs="Arial"/>
        </w:rPr>
        <w:t>Civitas</w:t>
      </w:r>
      <w:proofErr w:type="spellEnd"/>
      <w:r w:rsidRPr="00032D45">
        <w:rPr>
          <w:rFonts w:ascii="Arial" w:hAnsi="Arial" w:cs="Arial"/>
        </w:rPr>
        <w:t>.</w:t>
      </w:r>
    </w:p>
    <w:p w:rsidR="008105F3" w:rsidRPr="00032D45" w:rsidRDefault="008105F3" w:rsidP="00CC01B7">
      <w:pPr>
        <w:spacing w:after="0"/>
        <w:jc w:val="both"/>
        <w:rPr>
          <w:rFonts w:ascii="Arial" w:hAnsi="Arial" w:cs="Arial"/>
        </w:rPr>
      </w:pPr>
      <w:r w:rsidRPr="00032D45">
        <w:rPr>
          <w:rFonts w:ascii="Arial" w:hAnsi="Arial" w:cs="Arial"/>
        </w:rPr>
        <w:t xml:space="preserve">- </w:t>
      </w:r>
      <w:proofErr w:type="spellStart"/>
      <w:r w:rsidRPr="00032D45">
        <w:rPr>
          <w:rFonts w:ascii="Arial" w:hAnsi="Arial" w:cs="Arial"/>
        </w:rPr>
        <w:t>B</w:t>
      </w:r>
      <w:r w:rsidR="00264B93">
        <w:rPr>
          <w:rFonts w:ascii="Arial" w:hAnsi="Arial" w:cs="Arial"/>
        </w:rPr>
        <w:t>ariffi</w:t>
      </w:r>
      <w:proofErr w:type="spellEnd"/>
      <w:r w:rsidRPr="00032D45">
        <w:rPr>
          <w:rFonts w:ascii="Arial" w:hAnsi="Arial" w:cs="Arial"/>
        </w:rPr>
        <w:t>, F.J.</w:t>
      </w:r>
      <w:r w:rsidR="00264B93">
        <w:rPr>
          <w:rFonts w:ascii="Arial" w:hAnsi="Arial" w:cs="Arial"/>
        </w:rPr>
        <w:t xml:space="preserve"> (2015):</w:t>
      </w:r>
      <w:r w:rsidRPr="00032D45">
        <w:rPr>
          <w:rFonts w:ascii="Arial" w:hAnsi="Arial" w:cs="Arial"/>
        </w:rPr>
        <w:t xml:space="preserve"> </w:t>
      </w:r>
      <w:r w:rsidRPr="00032D45">
        <w:rPr>
          <w:rFonts w:ascii="Arial" w:hAnsi="Arial" w:cs="Arial"/>
          <w:i/>
        </w:rPr>
        <w:t>El régimen jurídico internacional de la capacidad jurídica de las personas con discapacidad</w:t>
      </w:r>
      <w:r w:rsidRPr="00032D45">
        <w:rPr>
          <w:rFonts w:ascii="Arial" w:hAnsi="Arial" w:cs="Arial"/>
        </w:rPr>
        <w:t xml:space="preserve">, </w:t>
      </w:r>
      <w:r w:rsidR="00264B93">
        <w:rPr>
          <w:rFonts w:ascii="Arial" w:hAnsi="Arial" w:cs="Arial"/>
        </w:rPr>
        <w:t xml:space="preserve">Madrid, </w:t>
      </w:r>
      <w:proofErr w:type="spellStart"/>
      <w:r w:rsidRPr="00032D45">
        <w:rPr>
          <w:rFonts w:ascii="Arial" w:hAnsi="Arial" w:cs="Arial"/>
        </w:rPr>
        <w:t>Dykinson</w:t>
      </w:r>
      <w:proofErr w:type="spellEnd"/>
      <w:r w:rsidRPr="00032D45">
        <w:rPr>
          <w:rFonts w:ascii="Arial" w:hAnsi="Arial" w:cs="Arial"/>
        </w:rPr>
        <w:t>.</w:t>
      </w:r>
    </w:p>
    <w:p w:rsidR="008105F3" w:rsidRPr="00032D45" w:rsidRDefault="008105F3" w:rsidP="00CC01B7">
      <w:pPr>
        <w:spacing w:after="0"/>
        <w:jc w:val="both"/>
        <w:rPr>
          <w:rFonts w:ascii="Arial" w:hAnsi="Arial" w:cs="Arial"/>
          <w:lang w:val="en-US"/>
        </w:rPr>
      </w:pPr>
      <w:r w:rsidRPr="00032D45">
        <w:rPr>
          <w:rFonts w:ascii="Arial" w:hAnsi="Arial" w:cs="Arial"/>
          <w:lang w:val="en-GB"/>
        </w:rPr>
        <w:t xml:space="preserve">- </w:t>
      </w:r>
      <w:proofErr w:type="spellStart"/>
      <w:r w:rsidRPr="00032D45">
        <w:rPr>
          <w:rFonts w:ascii="Arial" w:hAnsi="Arial" w:cs="Arial"/>
          <w:lang w:val="en-US"/>
        </w:rPr>
        <w:t>B</w:t>
      </w:r>
      <w:r w:rsidR="00264B93">
        <w:rPr>
          <w:rFonts w:ascii="Arial" w:hAnsi="Arial" w:cs="Arial"/>
          <w:lang w:val="en-US"/>
        </w:rPr>
        <w:t>oussuyt</w:t>
      </w:r>
      <w:proofErr w:type="spellEnd"/>
      <w:r w:rsidRPr="00032D45">
        <w:rPr>
          <w:rFonts w:ascii="Arial" w:hAnsi="Arial" w:cs="Arial"/>
          <w:lang w:val="en-US"/>
        </w:rPr>
        <w:t>, M.J.</w:t>
      </w:r>
      <w:r w:rsidR="00264B93">
        <w:rPr>
          <w:rFonts w:ascii="Arial" w:hAnsi="Arial" w:cs="Arial"/>
          <w:lang w:val="en-US"/>
        </w:rPr>
        <w:t xml:space="preserve"> (1953): </w:t>
      </w:r>
      <w:r w:rsidRPr="00032D45">
        <w:rPr>
          <w:rFonts w:ascii="Arial" w:hAnsi="Arial" w:cs="Arial"/>
          <w:i/>
          <w:lang w:val="en-US"/>
        </w:rPr>
        <w:t>Guide to the ´</w:t>
      </w:r>
      <w:proofErr w:type="spellStart"/>
      <w:r w:rsidRPr="00032D45">
        <w:rPr>
          <w:rFonts w:ascii="Arial" w:hAnsi="Arial" w:cs="Arial"/>
          <w:i/>
          <w:lang w:val="en-US"/>
        </w:rPr>
        <w:t>Travaux</w:t>
      </w:r>
      <w:proofErr w:type="spellEnd"/>
      <w:r w:rsidRPr="00032D45">
        <w:rPr>
          <w:rFonts w:ascii="Arial" w:hAnsi="Arial" w:cs="Arial"/>
          <w:i/>
          <w:lang w:val="en-US"/>
        </w:rPr>
        <w:t xml:space="preserve"> </w:t>
      </w:r>
      <w:proofErr w:type="spellStart"/>
      <w:r w:rsidRPr="00032D45">
        <w:rPr>
          <w:rFonts w:ascii="Arial" w:hAnsi="Arial" w:cs="Arial"/>
          <w:i/>
          <w:lang w:val="en-US"/>
        </w:rPr>
        <w:t>Préparatoires´of</w:t>
      </w:r>
      <w:proofErr w:type="spellEnd"/>
      <w:r w:rsidRPr="00032D45">
        <w:rPr>
          <w:rFonts w:ascii="Arial" w:hAnsi="Arial" w:cs="Arial"/>
          <w:i/>
          <w:lang w:val="en-US"/>
        </w:rPr>
        <w:t xml:space="preserve"> the International Covenant on Civil and Political Rights</w:t>
      </w:r>
      <w:r w:rsidRPr="00032D45">
        <w:rPr>
          <w:rFonts w:ascii="Arial" w:hAnsi="Arial" w:cs="Arial"/>
          <w:lang w:val="en-US"/>
        </w:rPr>
        <w:t xml:space="preserve">, </w:t>
      </w:r>
      <w:proofErr w:type="spellStart"/>
      <w:r w:rsidRPr="00032D45">
        <w:rPr>
          <w:rFonts w:ascii="Arial" w:hAnsi="Arial" w:cs="Arial"/>
          <w:lang w:val="en-US"/>
        </w:rPr>
        <w:t>Comisión</w:t>
      </w:r>
      <w:proofErr w:type="spellEnd"/>
      <w:r w:rsidRPr="00032D45">
        <w:rPr>
          <w:rFonts w:ascii="Arial" w:hAnsi="Arial" w:cs="Arial"/>
          <w:lang w:val="en-US"/>
        </w:rPr>
        <w:t xml:space="preserve"> de Derechos </w:t>
      </w:r>
      <w:proofErr w:type="spellStart"/>
      <w:r w:rsidRPr="00032D45">
        <w:rPr>
          <w:rFonts w:ascii="Arial" w:hAnsi="Arial" w:cs="Arial"/>
          <w:lang w:val="en-US"/>
        </w:rPr>
        <w:t>Humanos</w:t>
      </w:r>
      <w:proofErr w:type="spellEnd"/>
      <w:r w:rsidR="00264B93">
        <w:rPr>
          <w:rFonts w:ascii="Arial" w:hAnsi="Arial" w:cs="Arial"/>
          <w:lang w:val="en-US"/>
        </w:rPr>
        <w:t xml:space="preserve">, </w:t>
      </w:r>
      <w:r w:rsidRPr="00032D45">
        <w:rPr>
          <w:rFonts w:ascii="Arial" w:hAnsi="Arial" w:cs="Arial"/>
          <w:lang w:val="en-US"/>
        </w:rPr>
        <w:t xml:space="preserve">9ª </w:t>
      </w:r>
      <w:proofErr w:type="spellStart"/>
      <w:r w:rsidRPr="00032D45">
        <w:rPr>
          <w:rFonts w:ascii="Arial" w:hAnsi="Arial" w:cs="Arial"/>
          <w:lang w:val="en-US"/>
        </w:rPr>
        <w:t>sesión</w:t>
      </w:r>
      <w:proofErr w:type="spellEnd"/>
      <w:r w:rsidRPr="00032D45">
        <w:rPr>
          <w:rFonts w:ascii="Arial" w:hAnsi="Arial" w:cs="Arial"/>
          <w:lang w:val="en-US"/>
        </w:rPr>
        <w:t>.</w:t>
      </w:r>
    </w:p>
    <w:p w:rsidR="008105F3" w:rsidRPr="00032D45" w:rsidRDefault="008105F3" w:rsidP="00CC01B7">
      <w:pPr>
        <w:spacing w:after="0"/>
        <w:jc w:val="both"/>
        <w:rPr>
          <w:rFonts w:ascii="Arial" w:hAnsi="Arial" w:cs="Arial"/>
          <w:lang w:val="en-GB"/>
        </w:rPr>
      </w:pPr>
      <w:r w:rsidRPr="00032D45">
        <w:rPr>
          <w:rFonts w:ascii="Arial" w:hAnsi="Arial" w:cs="Arial"/>
          <w:lang w:val="en-US"/>
        </w:rPr>
        <w:t xml:space="preserve">- </w:t>
      </w:r>
      <w:proofErr w:type="spellStart"/>
      <w:r w:rsidRPr="00032D45">
        <w:rPr>
          <w:rFonts w:ascii="Arial" w:hAnsi="Arial" w:cs="Arial"/>
          <w:lang w:val="en-US"/>
        </w:rPr>
        <w:t>B</w:t>
      </w:r>
      <w:r w:rsidR="00264B93">
        <w:rPr>
          <w:rFonts w:ascii="Arial" w:hAnsi="Arial" w:cs="Arial"/>
          <w:lang w:val="en-US"/>
        </w:rPr>
        <w:t>rems</w:t>
      </w:r>
      <w:proofErr w:type="spellEnd"/>
      <w:r w:rsidRPr="00032D45">
        <w:rPr>
          <w:rFonts w:ascii="Arial" w:hAnsi="Arial" w:cs="Arial"/>
          <w:lang w:val="en-US"/>
        </w:rPr>
        <w:t>, E.</w:t>
      </w:r>
      <w:r w:rsidR="00264B93">
        <w:rPr>
          <w:rFonts w:ascii="Arial" w:hAnsi="Arial" w:cs="Arial"/>
          <w:lang w:val="en-US"/>
        </w:rPr>
        <w:t xml:space="preserve"> (2001)</w:t>
      </w:r>
      <w:r w:rsidRPr="00032D45">
        <w:rPr>
          <w:rFonts w:ascii="Arial" w:hAnsi="Arial" w:cs="Arial"/>
          <w:lang w:val="en-US"/>
        </w:rPr>
        <w:t xml:space="preserve">: </w:t>
      </w:r>
      <w:r w:rsidRPr="00032D45">
        <w:rPr>
          <w:rFonts w:ascii="Arial" w:hAnsi="Arial" w:cs="Arial"/>
          <w:i/>
          <w:lang w:val="en-US"/>
        </w:rPr>
        <w:t xml:space="preserve">Human rights. </w:t>
      </w:r>
      <w:proofErr w:type="gramStart"/>
      <w:r w:rsidRPr="00032D45">
        <w:rPr>
          <w:rFonts w:ascii="Arial" w:hAnsi="Arial" w:cs="Arial"/>
          <w:i/>
          <w:lang w:val="en-GB"/>
        </w:rPr>
        <w:t>Universality and Diversity</w:t>
      </w:r>
      <w:r w:rsidRPr="00032D45">
        <w:rPr>
          <w:rFonts w:ascii="Arial" w:hAnsi="Arial" w:cs="Arial"/>
          <w:lang w:val="en-GB"/>
        </w:rPr>
        <w:t xml:space="preserve">, </w:t>
      </w:r>
      <w:r w:rsidR="00264B93">
        <w:rPr>
          <w:rFonts w:ascii="Arial" w:hAnsi="Arial" w:cs="Arial"/>
          <w:lang w:val="en-GB"/>
        </w:rPr>
        <w:t xml:space="preserve">The Hague, </w:t>
      </w:r>
      <w:r w:rsidRPr="00032D45">
        <w:rPr>
          <w:rFonts w:ascii="Arial" w:hAnsi="Arial" w:cs="Arial"/>
          <w:lang w:val="en-GB"/>
        </w:rPr>
        <w:t>Kluwer Law International.</w:t>
      </w:r>
      <w:proofErr w:type="gramEnd"/>
    </w:p>
    <w:p w:rsidR="008105F3" w:rsidRPr="00032D45" w:rsidRDefault="00264B93" w:rsidP="00CC01B7">
      <w:pPr>
        <w:spacing w:after="0"/>
        <w:jc w:val="both"/>
        <w:rPr>
          <w:rFonts w:ascii="Arial" w:hAnsi="Arial" w:cs="Arial"/>
        </w:rPr>
      </w:pPr>
      <w:r>
        <w:rPr>
          <w:rFonts w:ascii="Arial" w:hAnsi="Arial" w:cs="Arial"/>
        </w:rPr>
        <w:t xml:space="preserve">- Castro-Rial </w:t>
      </w:r>
      <w:proofErr w:type="spellStart"/>
      <w:r>
        <w:rPr>
          <w:rFonts w:ascii="Arial" w:hAnsi="Arial" w:cs="Arial"/>
        </w:rPr>
        <w:t>Garrone</w:t>
      </w:r>
      <w:proofErr w:type="spellEnd"/>
      <w:r w:rsidR="008105F3" w:rsidRPr="00032D45">
        <w:rPr>
          <w:rFonts w:ascii="Arial" w:hAnsi="Arial" w:cs="Arial"/>
        </w:rPr>
        <w:t>, F.</w:t>
      </w:r>
      <w:r>
        <w:rPr>
          <w:rFonts w:ascii="Arial" w:hAnsi="Arial" w:cs="Arial"/>
        </w:rPr>
        <w:t xml:space="preserve"> (1998):</w:t>
      </w:r>
      <w:r w:rsidR="008105F3" w:rsidRPr="00032D45">
        <w:rPr>
          <w:rFonts w:ascii="Arial" w:hAnsi="Arial" w:cs="Arial"/>
        </w:rPr>
        <w:t xml:space="preserve"> “La Declaración Universal como elemento básico del orden internacional”, en BALADO, M. y GARCÍA REGUEIRO, J.A. (Dir.), </w:t>
      </w:r>
      <w:r w:rsidR="008105F3" w:rsidRPr="00032D45">
        <w:rPr>
          <w:rFonts w:ascii="Arial" w:hAnsi="Arial" w:cs="Arial"/>
          <w:i/>
        </w:rPr>
        <w:t>La Declaración Universal de los Derechos Humanos en su 50 aniversario</w:t>
      </w:r>
      <w:r w:rsidR="008105F3" w:rsidRPr="00032D45">
        <w:rPr>
          <w:rFonts w:ascii="Arial" w:hAnsi="Arial" w:cs="Arial"/>
        </w:rPr>
        <w:t>, CIEP,</w:t>
      </w:r>
      <w:r>
        <w:rPr>
          <w:rFonts w:ascii="Arial" w:hAnsi="Arial" w:cs="Arial"/>
        </w:rPr>
        <w:t xml:space="preserve"> </w:t>
      </w:r>
      <w:r w:rsidRPr="00032D45">
        <w:rPr>
          <w:rFonts w:ascii="Arial" w:hAnsi="Arial" w:cs="Arial"/>
        </w:rPr>
        <w:t>Barcelona</w:t>
      </w:r>
      <w:r>
        <w:rPr>
          <w:rFonts w:ascii="Arial" w:hAnsi="Arial" w:cs="Arial"/>
        </w:rPr>
        <w:t>,</w:t>
      </w:r>
      <w:r w:rsidRPr="00032D45">
        <w:rPr>
          <w:rFonts w:ascii="Arial" w:hAnsi="Arial" w:cs="Arial"/>
        </w:rPr>
        <w:t xml:space="preserve"> </w:t>
      </w:r>
      <w:r w:rsidR="008105F3" w:rsidRPr="00032D45">
        <w:rPr>
          <w:rFonts w:ascii="Arial" w:hAnsi="Arial" w:cs="Arial"/>
        </w:rPr>
        <w:t>Editorial Bosch.</w:t>
      </w:r>
    </w:p>
    <w:p w:rsidR="00F01164" w:rsidRPr="00032D45" w:rsidRDefault="00F01164" w:rsidP="00CC01B7">
      <w:pPr>
        <w:spacing w:after="0"/>
        <w:jc w:val="both"/>
        <w:rPr>
          <w:rFonts w:ascii="Arial" w:hAnsi="Arial" w:cs="Arial"/>
          <w:lang w:val="en-US"/>
        </w:rPr>
      </w:pPr>
      <w:r w:rsidRPr="00032D45">
        <w:rPr>
          <w:rFonts w:ascii="Arial" w:hAnsi="Arial" w:cs="Arial"/>
          <w:lang w:val="en-US"/>
        </w:rPr>
        <w:lastRenderedPageBreak/>
        <w:t xml:space="preserve">- </w:t>
      </w:r>
      <w:proofErr w:type="spellStart"/>
      <w:r>
        <w:rPr>
          <w:rFonts w:ascii="Arial" w:hAnsi="Arial" w:cs="Arial"/>
          <w:lang w:val="en-US"/>
        </w:rPr>
        <w:t>Comisión</w:t>
      </w:r>
      <w:proofErr w:type="spellEnd"/>
      <w:r>
        <w:rPr>
          <w:rFonts w:ascii="Arial" w:hAnsi="Arial" w:cs="Arial"/>
          <w:lang w:val="en-US"/>
        </w:rPr>
        <w:t xml:space="preserve"> </w:t>
      </w:r>
      <w:proofErr w:type="spellStart"/>
      <w:r>
        <w:rPr>
          <w:rFonts w:ascii="Arial" w:hAnsi="Arial" w:cs="Arial"/>
          <w:lang w:val="en-US"/>
        </w:rPr>
        <w:t>Europea</w:t>
      </w:r>
      <w:proofErr w:type="spellEnd"/>
      <w:r>
        <w:rPr>
          <w:rFonts w:ascii="Arial" w:hAnsi="Arial" w:cs="Arial"/>
          <w:lang w:val="en-US"/>
        </w:rPr>
        <w:t xml:space="preserve"> </w:t>
      </w:r>
      <w:r w:rsidRPr="00032D45">
        <w:rPr>
          <w:rFonts w:ascii="Arial" w:hAnsi="Arial" w:cs="Arial"/>
          <w:lang w:val="en-US"/>
        </w:rPr>
        <w:t>N</w:t>
      </w:r>
      <w:r>
        <w:rPr>
          <w:rFonts w:ascii="Arial" w:hAnsi="Arial" w:cs="Arial"/>
          <w:lang w:val="en-US"/>
        </w:rPr>
        <w:t>eeds (2007):</w:t>
      </w:r>
      <w:r w:rsidRPr="00032D45">
        <w:rPr>
          <w:rFonts w:ascii="Arial" w:hAnsi="Arial" w:cs="Arial"/>
          <w:lang w:val="en-US"/>
        </w:rPr>
        <w:t xml:space="preserve"> </w:t>
      </w:r>
      <w:r w:rsidRPr="00032D45">
        <w:rPr>
          <w:rFonts w:ascii="Arial" w:hAnsi="Arial" w:cs="Arial"/>
          <w:i/>
          <w:lang w:val="en-US"/>
        </w:rPr>
        <w:t>Compendium of International Standards for elections</w:t>
      </w:r>
      <w:r w:rsidRPr="00032D45">
        <w:rPr>
          <w:rFonts w:ascii="Arial" w:hAnsi="Arial" w:cs="Arial"/>
          <w:lang w:val="en-US"/>
        </w:rPr>
        <w:t xml:space="preserve">, </w:t>
      </w:r>
      <w:proofErr w:type="spellStart"/>
      <w:r w:rsidRPr="00032D45">
        <w:rPr>
          <w:rFonts w:ascii="Arial" w:hAnsi="Arial" w:cs="Arial"/>
          <w:lang w:val="en-US"/>
        </w:rPr>
        <w:t>Bruselas</w:t>
      </w:r>
      <w:proofErr w:type="spellEnd"/>
      <w:r w:rsidRPr="00032D45">
        <w:rPr>
          <w:rFonts w:ascii="Arial" w:hAnsi="Arial" w:cs="Arial"/>
          <w:lang w:val="en-US"/>
        </w:rPr>
        <w:t xml:space="preserve">, </w:t>
      </w:r>
      <w:proofErr w:type="spellStart"/>
      <w:r w:rsidRPr="00032D45">
        <w:rPr>
          <w:rFonts w:ascii="Arial" w:hAnsi="Arial" w:cs="Arial"/>
          <w:lang w:val="en-US"/>
        </w:rPr>
        <w:t>Bélgica</w:t>
      </w:r>
      <w:proofErr w:type="spellEnd"/>
      <w:r w:rsidRPr="00032D45">
        <w:rPr>
          <w:rFonts w:ascii="Arial" w:hAnsi="Arial" w:cs="Arial"/>
          <w:lang w:val="en-US"/>
        </w:rPr>
        <w:t>.</w:t>
      </w:r>
    </w:p>
    <w:p w:rsidR="008105F3" w:rsidRPr="00032D45" w:rsidRDefault="008105F3" w:rsidP="00CC01B7">
      <w:pPr>
        <w:spacing w:after="0"/>
        <w:jc w:val="both"/>
        <w:rPr>
          <w:rFonts w:ascii="Arial" w:hAnsi="Arial" w:cs="Arial"/>
        </w:rPr>
      </w:pPr>
      <w:r w:rsidRPr="00032D45">
        <w:rPr>
          <w:rFonts w:ascii="Arial" w:hAnsi="Arial" w:cs="Arial"/>
        </w:rPr>
        <w:t>- C</w:t>
      </w:r>
      <w:r w:rsidR="00264B93">
        <w:rPr>
          <w:rFonts w:ascii="Arial" w:hAnsi="Arial" w:cs="Arial"/>
        </w:rPr>
        <w:t>uenca</w:t>
      </w:r>
      <w:r w:rsidRPr="00032D45">
        <w:rPr>
          <w:rFonts w:ascii="Arial" w:hAnsi="Arial" w:cs="Arial"/>
        </w:rPr>
        <w:t xml:space="preserve"> G</w:t>
      </w:r>
      <w:r w:rsidR="00264B93">
        <w:rPr>
          <w:rFonts w:ascii="Arial" w:hAnsi="Arial" w:cs="Arial"/>
        </w:rPr>
        <w:t>ómez,</w:t>
      </w:r>
      <w:r w:rsidRPr="00032D45">
        <w:rPr>
          <w:rFonts w:ascii="Arial" w:hAnsi="Arial" w:cs="Arial"/>
        </w:rPr>
        <w:t xml:space="preserve"> P.</w:t>
      </w:r>
      <w:r w:rsidR="00264B93">
        <w:rPr>
          <w:rFonts w:ascii="Arial" w:hAnsi="Arial" w:cs="Arial"/>
        </w:rPr>
        <w:t xml:space="preserve"> (2012):</w:t>
      </w:r>
      <w:r w:rsidRPr="00032D45">
        <w:rPr>
          <w:rFonts w:ascii="Arial" w:hAnsi="Arial" w:cs="Arial"/>
        </w:rPr>
        <w:t xml:space="preserve"> “La incidencia del Derecho Internacional de los Derechos Humanos en el Derecho interno: la interpretación del artículo 10.2 de la Constitución Española”, </w:t>
      </w:r>
      <w:r w:rsidRPr="00032D45">
        <w:rPr>
          <w:rFonts w:ascii="Arial" w:hAnsi="Arial" w:cs="Arial"/>
          <w:i/>
        </w:rPr>
        <w:t>Revista de Estudios Jurídicos</w:t>
      </w:r>
      <w:r w:rsidRPr="00032D45">
        <w:rPr>
          <w:rFonts w:ascii="Arial" w:hAnsi="Arial" w:cs="Arial"/>
        </w:rPr>
        <w:t xml:space="preserve"> nº 12/2012 (Segunda Época), ISSN 1576-124X. Universidad de Jaén.</w:t>
      </w:r>
    </w:p>
    <w:p w:rsidR="008105F3" w:rsidRPr="00032D45" w:rsidRDefault="008105F3" w:rsidP="00CC01B7">
      <w:pPr>
        <w:spacing w:after="0"/>
        <w:jc w:val="both"/>
        <w:rPr>
          <w:rFonts w:ascii="Arial" w:hAnsi="Arial" w:cs="Arial"/>
        </w:rPr>
      </w:pPr>
      <w:r w:rsidRPr="00032D45">
        <w:rPr>
          <w:rFonts w:ascii="Arial" w:hAnsi="Arial" w:cs="Arial"/>
        </w:rPr>
        <w:t>- D</w:t>
      </w:r>
      <w:r w:rsidR="00264B93">
        <w:rPr>
          <w:rFonts w:ascii="Arial" w:hAnsi="Arial" w:cs="Arial"/>
        </w:rPr>
        <w:t xml:space="preserve">alla </w:t>
      </w:r>
      <w:proofErr w:type="spellStart"/>
      <w:r w:rsidR="00264B93">
        <w:rPr>
          <w:rFonts w:ascii="Arial" w:hAnsi="Arial" w:cs="Arial"/>
        </w:rPr>
        <w:t>Via</w:t>
      </w:r>
      <w:proofErr w:type="spellEnd"/>
      <w:r w:rsidRPr="00032D45">
        <w:rPr>
          <w:rFonts w:ascii="Arial" w:hAnsi="Arial" w:cs="Arial"/>
        </w:rPr>
        <w:t>, A.R.</w:t>
      </w:r>
      <w:r w:rsidR="00264B93">
        <w:rPr>
          <w:rFonts w:ascii="Arial" w:hAnsi="Arial" w:cs="Arial"/>
        </w:rPr>
        <w:t xml:space="preserve"> (2011):</w:t>
      </w:r>
      <w:r w:rsidRPr="00032D45">
        <w:rPr>
          <w:rFonts w:ascii="Arial" w:hAnsi="Arial" w:cs="Arial"/>
        </w:rPr>
        <w:t xml:space="preserve"> </w:t>
      </w:r>
      <w:r w:rsidRPr="00032D45">
        <w:rPr>
          <w:rFonts w:ascii="Arial" w:hAnsi="Arial" w:cs="Arial"/>
          <w:bCs/>
          <w:i/>
        </w:rPr>
        <w:t>Derechos políticos, normativa electoral y equidad en los procesos electorales</w:t>
      </w:r>
      <w:r w:rsidRPr="00032D45">
        <w:rPr>
          <w:rFonts w:ascii="Arial" w:hAnsi="Arial" w:cs="Arial"/>
          <w:iCs/>
        </w:rPr>
        <w:t xml:space="preserve">, </w:t>
      </w:r>
      <w:r w:rsidR="00264B93" w:rsidRPr="00032D45">
        <w:rPr>
          <w:rFonts w:ascii="Arial" w:hAnsi="Arial" w:cs="Arial"/>
          <w:iCs/>
        </w:rPr>
        <w:t>San José de Costa Rica</w:t>
      </w:r>
      <w:r w:rsidR="00264B93">
        <w:rPr>
          <w:rFonts w:ascii="Arial" w:hAnsi="Arial" w:cs="Arial"/>
          <w:iCs/>
        </w:rPr>
        <w:t>,</w:t>
      </w:r>
      <w:r w:rsidR="00264B93" w:rsidRPr="00032D45">
        <w:rPr>
          <w:rFonts w:ascii="Arial" w:hAnsi="Arial" w:cs="Arial"/>
          <w:iCs/>
        </w:rPr>
        <w:t xml:space="preserve"> </w:t>
      </w:r>
      <w:r w:rsidRPr="00032D45">
        <w:rPr>
          <w:rFonts w:ascii="Arial" w:hAnsi="Arial" w:cs="Arial"/>
          <w:iCs/>
        </w:rPr>
        <w:t>Cuaderno de CAPEL 57</w:t>
      </w:r>
      <w:r w:rsidRPr="00032D45">
        <w:rPr>
          <w:rFonts w:ascii="Arial" w:hAnsi="Arial" w:cs="Arial"/>
          <w:i/>
          <w:iCs/>
        </w:rPr>
        <w:t>.</w:t>
      </w:r>
    </w:p>
    <w:p w:rsidR="008105F3" w:rsidRPr="00032D45" w:rsidRDefault="008105F3" w:rsidP="00CC01B7">
      <w:pPr>
        <w:spacing w:after="0"/>
        <w:jc w:val="both"/>
        <w:rPr>
          <w:rFonts w:ascii="Arial" w:hAnsi="Arial" w:cs="Arial"/>
        </w:rPr>
      </w:pPr>
      <w:r w:rsidRPr="00032D45">
        <w:rPr>
          <w:rFonts w:ascii="Arial" w:hAnsi="Arial" w:cs="Arial"/>
        </w:rPr>
        <w:t>- D</w:t>
      </w:r>
      <w:r w:rsidR="00264B93">
        <w:rPr>
          <w:rFonts w:ascii="Arial" w:hAnsi="Arial" w:cs="Arial"/>
        </w:rPr>
        <w:t>e La Rasilla</w:t>
      </w:r>
      <w:r w:rsidRPr="00032D45">
        <w:rPr>
          <w:rFonts w:ascii="Arial" w:hAnsi="Arial" w:cs="Arial"/>
        </w:rPr>
        <w:t>, I.</w:t>
      </w:r>
      <w:r w:rsidR="00264B93">
        <w:rPr>
          <w:rFonts w:ascii="Arial" w:hAnsi="Arial" w:cs="Arial"/>
        </w:rPr>
        <w:t xml:space="preserve"> (1998):</w:t>
      </w:r>
      <w:r w:rsidRPr="00032D45">
        <w:rPr>
          <w:rFonts w:ascii="Arial" w:hAnsi="Arial" w:cs="Arial"/>
        </w:rPr>
        <w:t xml:space="preserve"> “El derecho a la participación política en la Declaración Universal de Derechos Humanos de 1948. Una breve introducción a su consideración como norma consuetudinaria ´in statu </w:t>
      </w:r>
      <w:proofErr w:type="spellStart"/>
      <w:r w:rsidRPr="00032D45">
        <w:rPr>
          <w:rFonts w:ascii="Arial" w:hAnsi="Arial" w:cs="Arial"/>
        </w:rPr>
        <w:t>nascendi</w:t>
      </w:r>
      <w:proofErr w:type="spellEnd"/>
      <w:r w:rsidRPr="00032D45">
        <w:rPr>
          <w:rFonts w:ascii="Arial" w:hAnsi="Arial" w:cs="Arial"/>
        </w:rPr>
        <w:t xml:space="preserve">´”, en ESCOBAR HERNÁNDEZ, C., </w:t>
      </w:r>
      <w:r w:rsidRPr="00032D45">
        <w:rPr>
          <w:rFonts w:ascii="Arial" w:hAnsi="Arial" w:cs="Arial"/>
          <w:i/>
        </w:rPr>
        <w:t>Los derechos humanos en la sociedad internacional del siglo XXI</w:t>
      </w:r>
      <w:r w:rsidRPr="00032D45">
        <w:rPr>
          <w:rFonts w:ascii="Arial" w:hAnsi="Arial" w:cs="Arial"/>
        </w:rPr>
        <w:t>, vol. 1, Colección Escuela Diplomática nº 15.</w:t>
      </w:r>
    </w:p>
    <w:p w:rsidR="008105F3" w:rsidRPr="00032D45" w:rsidRDefault="008105F3" w:rsidP="00CC01B7">
      <w:pPr>
        <w:spacing w:after="0"/>
        <w:jc w:val="both"/>
        <w:rPr>
          <w:rFonts w:ascii="Arial" w:hAnsi="Arial" w:cs="Arial"/>
        </w:rPr>
      </w:pPr>
      <w:r w:rsidRPr="00032D45">
        <w:rPr>
          <w:rFonts w:ascii="Arial" w:hAnsi="Arial" w:cs="Arial"/>
        </w:rPr>
        <w:t>- D</w:t>
      </w:r>
      <w:r w:rsidR="00264B93">
        <w:rPr>
          <w:rFonts w:ascii="Arial" w:hAnsi="Arial" w:cs="Arial"/>
        </w:rPr>
        <w:t xml:space="preserve">íaz </w:t>
      </w:r>
      <w:proofErr w:type="spellStart"/>
      <w:r w:rsidR="00264B93">
        <w:rPr>
          <w:rFonts w:ascii="Arial" w:hAnsi="Arial" w:cs="Arial"/>
        </w:rPr>
        <w:t>Alabart</w:t>
      </w:r>
      <w:proofErr w:type="spellEnd"/>
      <w:r w:rsidRPr="00032D45">
        <w:rPr>
          <w:rFonts w:ascii="Arial" w:hAnsi="Arial" w:cs="Arial"/>
        </w:rPr>
        <w:t>, S.</w:t>
      </w:r>
      <w:r w:rsidR="00264B93">
        <w:rPr>
          <w:rFonts w:ascii="Arial" w:hAnsi="Arial" w:cs="Arial"/>
        </w:rPr>
        <w:t xml:space="preserve"> (2012):</w:t>
      </w:r>
      <w:r w:rsidRPr="00032D45">
        <w:rPr>
          <w:rFonts w:ascii="Arial" w:hAnsi="Arial" w:cs="Arial"/>
        </w:rPr>
        <w:t xml:space="preserve"> “El derecho al sufragio activo de las personas con discapacidad. La visión civilista”, </w:t>
      </w:r>
      <w:r w:rsidRPr="00032D45">
        <w:rPr>
          <w:rFonts w:ascii="Arial" w:hAnsi="Arial" w:cs="Arial"/>
          <w:i/>
        </w:rPr>
        <w:t>Revista de Derecho Privado</w:t>
      </w:r>
      <w:r w:rsidRPr="00032D45">
        <w:rPr>
          <w:rFonts w:ascii="Arial" w:hAnsi="Arial" w:cs="Arial"/>
        </w:rPr>
        <w:t>, 96.</w:t>
      </w:r>
    </w:p>
    <w:p w:rsidR="006C5045" w:rsidRPr="00032D45" w:rsidRDefault="006C5045" w:rsidP="00CC01B7">
      <w:pPr>
        <w:spacing w:after="0"/>
        <w:jc w:val="both"/>
        <w:rPr>
          <w:rFonts w:ascii="Arial" w:hAnsi="Arial" w:cs="Arial"/>
        </w:rPr>
      </w:pPr>
      <w:r w:rsidRPr="00032D45">
        <w:rPr>
          <w:rFonts w:ascii="Arial" w:hAnsi="Arial" w:cs="Arial"/>
        </w:rPr>
        <w:t xml:space="preserve">- </w:t>
      </w:r>
      <w:r w:rsidR="00EE6624" w:rsidRPr="00032D45">
        <w:rPr>
          <w:rFonts w:ascii="Arial" w:hAnsi="Arial" w:cs="Arial"/>
        </w:rPr>
        <w:t>D</w:t>
      </w:r>
      <w:r w:rsidR="00264B93">
        <w:rPr>
          <w:rFonts w:ascii="Arial" w:hAnsi="Arial" w:cs="Arial"/>
        </w:rPr>
        <w:t>íez de Velasco Vallejo</w:t>
      </w:r>
      <w:r w:rsidR="00EE6624" w:rsidRPr="00032D45">
        <w:rPr>
          <w:rFonts w:ascii="Arial" w:hAnsi="Arial" w:cs="Arial"/>
        </w:rPr>
        <w:t>, M.</w:t>
      </w:r>
      <w:r w:rsidR="00264B93">
        <w:rPr>
          <w:rFonts w:ascii="Arial" w:hAnsi="Arial" w:cs="Arial"/>
        </w:rPr>
        <w:t xml:space="preserve"> (2013):</w:t>
      </w:r>
      <w:r w:rsidR="00EE6624" w:rsidRPr="00032D45">
        <w:rPr>
          <w:rFonts w:ascii="Arial" w:hAnsi="Arial" w:cs="Arial"/>
        </w:rPr>
        <w:t xml:space="preserve"> </w:t>
      </w:r>
      <w:r w:rsidR="00EE6624" w:rsidRPr="00032D45">
        <w:rPr>
          <w:rFonts w:ascii="Arial" w:hAnsi="Arial" w:cs="Arial"/>
          <w:i/>
        </w:rPr>
        <w:t>Instituciones de Derecho Internacional Público</w:t>
      </w:r>
      <w:r w:rsidR="00EE6624" w:rsidRPr="00032D45">
        <w:rPr>
          <w:rFonts w:ascii="Arial" w:hAnsi="Arial" w:cs="Arial"/>
        </w:rPr>
        <w:t xml:space="preserve">, </w:t>
      </w:r>
      <w:r w:rsidR="00264B93">
        <w:rPr>
          <w:rFonts w:ascii="Arial" w:hAnsi="Arial" w:cs="Arial"/>
        </w:rPr>
        <w:t xml:space="preserve">Madrid, </w:t>
      </w:r>
      <w:r w:rsidR="00EE6624" w:rsidRPr="00032D45">
        <w:rPr>
          <w:rFonts w:ascii="Arial" w:hAnsi="Arial" w:cs="Arial"/>
        </w:rPr>
        <w:t xml:space="preserve">Ed. </w:t>
      </w:r>
      <w:proofErr w:type="spellStart"/>
      <w:r w:rsidR="00EE6624" w:rsidRPr="00032D45">
        <w:rPr>
          <w:rFonts w:ascii="Arial" w:hAnsi="Arial" w:cs="Arial"/>
        </w:rPr>
        <w:t>Tecnos</w:t>
      </w:r>
      <w:proofErr w:type="spellEnd"/>
      <w:r w:rsidR="00EE6624" w:rsidRPr="00032D45">
        <w:rPr>
          <w:rFonts w:ascii="Arial" w:hAnsi="Arial" w:cs="Arial"/>
        </w:rPr>
        <w:t xml:space="preserve">, </w:t>
      </w:r>
      <w:r w:rsidR="00104C0D" w:rsidRPr="00032D45">
        <w:rPr>
          <w:rFonts w:ascii="Arial" w:hAnsi="Arial" w:cs="Arial"/>
        </w:rPr>
        <w:t xml:space="preserve">18ª </w:t>
      </w:r>
      <w:proofErr w:type="gramStart"/>
      <w:r w:rsidR="00104C0D" w:rsidRPr="00032D45">
        <w:rPr>
          <w:rFonts w:ascii="Arial" w:hAnsi="Arial" w:cs="Arial"/>
        </w:rPr>
        <w:t>Ed.</w:t>
      </w:r>
      <w:r w:rsidR="00EE6624" w:rsidRPr="00032D45">
        <w:rPr>
          <w:rFonts w:ascii="Arial" w:hAnsi="Arial" w:cs="Arial"/>
        </w:rPr>
        <w:t>.</w:t>
      </w:r>
      <w:proofErr w:type="gramEnd"/>
    </w:p>
    <w:p w:rsidR="008105F3" w:rsidRPr="00032D45" w:rsidRDefault="008105F3" w:rsidP="00CC01B7">
      <w:pPr>
        <w:spacing w:after="0"/>
        <w:jc w:val="both"/>
        <w:rPr>
          <w:rFonts w:ascii="Arial" w:hAnsi="Arial" w:cs="Arial"/>
        </w:rPr>
      </w:pPr>
      <w:r w:rsidRPr="00032D45">
        <w:rPr>
          <w:rFonts w:ascii="Arial" w:hAnsi="Arial" w:cs="Arial"/>
        </w:rPr>
        <w:t>- G</w:t>
      </w:r>
      <w:r w:rsidR="00264B93">
        <w:rPr>
          <w:rFonts w:ascii="Arial" w:hAnsi="Arial" w:cs="Arial"/>
        </w:rPr>
        <w:t>álvez Muñoz</w:t>
      </w:r>
      <w:r w:rsidRPr="00032D45">
        <w:rPr>
          <w:rFonts w:ascii="Arial" w:hAnsi="Arial" w:cs="Arial"/>
        </w:rPr>
        <w:t>, L.A.</w:t>
      </w:r>
      <w:r w:rsidR="00264B93">
        <w:rPr>
          <w:rFonts w:ascii="Arial" w:hAnsi="Arial" w:cs="Arial"/>
        </w:rPr>
        <w:t xml:space="preserve"> (2009):</w:t>
      </w:r>
      <w:r w:rsidRPr="00032D45">
        <w:rPr>
          <w:rFonts w:ascii="Arial" w:hAnsi="Arial" w:cs="Arial"/>
        </w:rPr>
        <w:t xml:space="preserve"> </w:t>
      </w:r>
      <w:r w:rsidRPr="00032D45">
        <w:rPr>
          <w:rFonts w:ascii="Arial" w:hAnsi="Arial" w:cs="Arial"/>
          <w:i/>
        </w:rPr>
        <w:t>El derecho de los discapacitados y otras personas vulnerables. Teoría, crítica y práctica</w:t>
      </w:r>
      <w:r w:rsidRPr="00032D45">
        <w:rPr>
          <w:rFonts w:ascii="Arial" w:hAnsi="Arial" w:cs="Arial"/>
        </w:rPr>
        <w:t xml:space="preserve">, Ediciones de la Universidad de Murcia, </w:t>
      </w:r>
      <w:r w:rsidR="00264B93">
        <w:rPr>
          <w:rFonts w:ascii="Arial" w:hAnsi="Arial" w:cs="Arial"/>
        </w:rPr>
        <w:t xml:space="preserve">Valencia, </w:t>
      </w:r>
      <w:r w:rsidRPr="00032D45">
        <w:rPr>
          <w:rFonts w:ascii="Arial" w:hAnsi="Arial" w:cs="Arial"/>
        </w:rPr>
        <w:t>Tirant lo Blanch.</w:t>
      </w:r>
    </w:p>
    <w:p w:rsidR="008105F3" w:rsidRPr="00032D45" w:rsidRDefault="008105F3" w:rsidP="00CC01B7">
      <w:pPr>
        <w:spacing w:after="0"/>
        <w:jc w:val="both"/>
        <w:rPr>
          <w:rFonts w:ascii="Arial" w:hAnsi="Arial" w:cs="Arial"/>
        </w:rPr>
      </w:pPr>
      <w:r w:rsidRPr="00032D45">
        <w:rPr>
          <w:rFonts w:ascii="Arial" w:hAnsi="Arial" w:cs="Arial"/>
        </w:rPr>
        <w:t>- G</w:t>
      </w:r>
      <w:r w:rsidR="00264B93">
        <w:rPr>
          <w:rFonts w:ascii="Arial" w:hAnsi="Arial" w:cs="Arial"/>
        </w:rPr>
        <w:t xml:space="preserve">onzález </w:t>
      </w:r>
      <w:proofErr w:type="spellStart"/>
      <w:r w:rsidR="00264B93">
        <w:rPr>
          <w:rFonts w:ascii="Arial" w:hAnsi="Arial" w:cs="Arial"/>
        </w:rPr>
        <w:t>Volio</w:t>
      </w:r>
      <w:proofErr w:type="spellEnd"/>
      <w:r w:rsidRPr="00032D45">
        <w:rPr>
          <w:rFonts w:ascii="Arial" w:hAnsi="Arial" w:cs="Arial"/>
        </w:rPr>
        <w:t>, L.</w:t>
      </w:r>
      <w:r w:rsidR="00264B93">
        <w:rPr>
          <w:rFonts w:ascii="Arial" w:hAnsi="Arial" w:cs="Arial"/>
        </w:rPr>
        <w:t xml:space="preserve"> (2005):</w:t>
      </w:r>
      <w:r w:rsidRPr="00032D45">
        <w:rPr>
          <w:rFonts w:ascii="Arial" w:hAnsi="Arial" w:cs="Arial"/>
        </w:rPr>
        <w:t xml:space="preserve"> “</w:t>
      </w:r>
      <w:r w:rsidRPr="00032D45">
        <w:rPr>
          <w:rFonts w:ascii="Arial" w:hAnsi="Arial" w:cs="Arial"/>
          <w:bCs/>
        </w:rPr>
        <w:t xml:space="preserve">Los pueblos indígenas y el ejercicio de los derechos políticos de acuerdo a la Convención Americana: el Caso </w:t>
      </w:r>
      <w:proofErr w:type="spellStart"/>
      <w:r w:rsidRPr="00032D45">
        <w:rPr>
          <w:rFonts w:ascii="Arial" w:hAnsi="Arial" w:cs="Arial"/>
          <w:bCs/>
        </w:rPr>
        <w:t>Yatama</w:t>
      </w:r>
      <w:proofErr w:type="spellEnd"/>
      <w:r w:rsidRPr="00032D45">
        <w:rPr>
          <w:rFonts w:ascii="Arial" w:hAnsi="Arial" w:cs="Arial"/>
          <w:bCs/>
        </w:rPr>
        <w:t xml:space="preserve"> contra Nicaragua”</w:t>
      </w:r>
      <w:r w:rsidRPr="00032D45">
        <w:rPr>
          <w:rFonts w:ascii="Arial" w:hAnsi="Arial" w:cs="Arial"/>
        </w:rPr>
        <w:t xml:space="preserve">, </w:t>
      </w:r>
      <w:r w:rsidRPr="00032D45">
        <w:rPr>
          <w:rFonts w:ascii="Arial" w:hAnsi="Arial" w:cs="Arial"/>
          <w:i/>
          <w:iCs/>
        </w:rPr>
        <w:t>Revista IIDH</w:t>
      </w:r>
      <w:r w:rsidRPr="00032D45">
        <w:rPr>
          <w:rFonts w:ascii="Arial" w:hAnsi="Arial" w:cs="Arial"/>
          <w:iCs/>
        </w:rPr>
        <w:t>.</w:t>
      </w:r>
    </w:p>
    <w:p w:rsidR="008105F3" w:rsidRPr="00032D45" w:rsidRDefault="008105F3" w:rsidP="00CC01B7">
      <w:pPr>
        <w:spacing w:after="0"/>
        <w:jc w:val="both"/>
        <w:rPr>
          <w:rFonts w:ascii="Arial" w:hAnsi="Arial" w:cs="Arial"/>
          <w:lang w:val="en-US"/>
        </w:rPr>
      </w:pPr>
      <w:r w:rsidRPr="00032D45">
        <w:rPr>
          <w:rFonts w:ascii="Arial" w:hAnsi="Arial" w:cs="Arial"/>
          <w:lang w:val="en-GB"/>
        </w:rPr>
        <w:t>- H</w:t>
      </w:r>
      <w:r w:rsidR="00264B93">
        <w:rPr>
          <w:rFonts w:ascii="Arial" w:hAnsi="Arial" w:cs="Arial"/>
          <w:lang w:val="en-GB"/>
        </w:rPr>
        <w:t>artmann</w:t>
      </w:r>
      <w:r w:rsidRPr="00032D45">
        <w:rPr>
          <w:rFonts w:ascii="Arial" w:hAnsi="Arial" w:cs="Arial"/>
          <w:lang w:val="en-GB"/>
        </w:rPr>
        <w:t>, C.</w:t>
      </w:r>
      <w:r w:rsidR="00264B93">
        <w:rPr>
          <w:rFonts w:ascii="Arial" w:hAnsi="Arial" w:cs="Arial"/>
          <w:lang w:val="en-GB"/>
        </w:rPr>
        <w:t xml:space="preserve"> (2003)</w:t>
      </w:r>
      <w:r w:rsidRPr="00032D45">
        <w:rPr>
          <w:rFonts w:ascii="Arial" w:hAnsi="Arial" w:cs="Arial"/>
          <w:lang w:val="en-GB"/>
        </w:rPr>
        <w:t xml:space="preserve">, </w:t>
      </w:r>
      <w:r w:rsidRPr="00032D45">
        <w:rPr>
          <w:rFonts w:ascii="Arial" w:hAnsi="Arial" w:cs="Arial"/>
          <w:i/>
          <w:lang w:val="en-GB"/>
        </w:rPr>
        <w:t>Towards Internalisation of Democracy</w:t>
      </w:r>
      <w:proofErr w:type="gramStart"/>
      <w:r w:rsidRPr="00032D45">
        <w:rPr>
          <w:rFonts w:ascii="Arial" w:hAnsi="Arial" w:cs="Arial"/>
          <w:i/>
          <w:lang w:val="en-GB"/>
        </w:rPr>
        <w:t>?,</w:t>
      </w:r>
      <w:proofErr w:type="gramEnd"/>
      <w:r w:rsidRPr="00032D45">
        <w:rPr>
          <w:rFonts w:ascii="Arial" w:hAnsi="Arial" w:cs="Arial"/>
          <w:lang w:val="en-GB"/>
        </w:rPr>
        <w:t xml:space="preserve"> Institute of Development Research, Bochum.</w:t>
      </w:r>
    </w:p>
    <w:p w:rsidR="008105F3" w:rsidRPr="00032D45" w:rsidRDefault="008105F3" w:rsidP="00CC01B7">
      <w:pPr>
        <w:spacing w:after="0"/>
        <w:jc w:val="both"/>
        <w:rPr>
          <w:rFonts w:ascii="Arial" w:hAnsi="Arial" w:cs="Arial"/>
        </w:rPr>
      </w:pPr>
      <w:r w:rsidRPr="00032D45">
        <w:rPr>
          <w:rFonts w:ascii="Arial" w:hAnsi="Arial" w:cs="Arial"/>
        </w:rPr>
        <w:t xml:space="preserve">- </w:t>
      </w:r>
      <w:r w:rsidR="00264B93">
        <w:rPr>
          <w:rFonts w:ascii="Arial" w:hAnsi="Arial" w:cs="Arial"/>
        </w:rPr>
        <w:t>I</w:t>
      </w:r>
      <w:r w:rsidR="00264B93" w:rsidRPr="00032D45">
        <w:rPr>
          <w:rFonts w:ascii="Arial" w:hAnsi="Arial" w:cs="Arial"/>
        </w:rPr>
        <w:t xml:space="preserve">nstituto de </w:t>
      </w:r>
      <w:r w:rsidR="00264B93">
        <w:rPr>
          <w:rFonts w:ascii="Arial" w:hAnsi="Arial" w:cs="Arial"/>
        </w:rPr>
        <w:t>D</w:t>
      </w:r>
      <w:r w:rsidR="00264B93" w:rsidRPr="00032D45">
        <w:rPr>
          <w:rFonts w:ascii="Arial" w:hAnsi="Arial" w:cs="Arial"/>
        </w:rPr>
        <w:t xml:space="preserve">erechos </w:t>
      </w:r>
      <w:r w:rsidR="00264B93">
        <w:rPr>
          <w:rFonts w:ascii="Arial" w:hAnsi="Arial" w:cs="Arial"/>
        </w:rPr>
        <w:t>H</w:t>
      </w:r>
      <w:r w:rsidR="00264B93" w:rsidRPr="00032D45">
        <w:rPr>
          <w:rFonts w:ascii="Arial" w:hAnsi="Arial" w:cs="Arial"/>
        </w:rPr>
        <w:t xml:space="preserve">umanos </w:t>
      </w:r>
      <w:r w:rsidR="00264B93">
        <w:rPr>
          <w:rFonts w:ascii="Arial" w:hAnsi="Arial" w:cs="Arial"/>
        </w:rPr>
        <w:t>B</w:t>
      </w:r>
      <w:r w:rsidR="00264B93" w:rsidRPr="00032D45">
        <w:rPr>
          <w:rFonts w:ascii="Arial" w:hAnsi="Arial" w:cs="Arial"/>
        </w:rPr>
        <w:t xml:space="preserve">artolomé </w:t>
      </w:r>
      <w:r w:rsidR="00264B93">
        <w:rPr>
          <w:rFonts w:ascii="Arial" w:hAnsi="Arial" w:cs="Arial"/>
        </w:rPr>
        <w:t>D</w:t>
      </w:r>
      <w:r w:rsidR="00264B93" w:rsidRPr="00032D45">
        <w:rPr>
          <w:rFonts w:ascii="Arial" w:hAnsi="Arial" w:cs="Arial"/>
        </w:rPr>
        <w:t xml:space="preserve">e </w:t>
      </w:r>
      <w:r w:rsidR="00264B93">
        <w:rPr>
          <w:rFonts w:ascii="Arial" w:hAnsi="Arial" w:cs="Arial"/>
        </w:rPr>
        <w:t>L</w:t>
      </w:r>
      <w:r w:rsidR="00264B93" w:rsidRPr="00032D45">
        <w:rPr>
          <w:rFonts w:ascii="Arial" w:hAnsi="Arial" w:cs="Arial"/>
        </w:rPr>
        <w:t xml:space="preserve">as </w:t>
      </w:r>
      <w:r w:rsidR="00264B93">
        <w:rPr>
          <w:rFonts w:ascii="Arial" w:hAnsi="Arial" w:cs="Arial"/>
        </w:rPr>
        <w:t>C</w:t>
      </w:r>
      <w:r w:rsidR="00264B93" w:rsidRPr="00032D45">
        <w:rPr>
          <w:rFonts w:ascii="Arial" w:hAnsi="Arial" w:cs="Arial"/>
        </w:rPr>
        <w:t xml:space="preserve">asas de la </w:t>
      </w:r>
      <w:r w:rsidR="00264B93">
        <w:rPr>
          <w:rFonts w:ascii="Arial" w:hAnsi="Arial" w:cs="Arial"/>
        </w:rPr>
        <w:t>U</w:t>
      </w:r>
      <w:r w:rsidR="00264B93" w:rsidRPr="00032D45">
        <w:rPr>
          <w:rFonts w:ascii="Arial" w:hAnsi="Arial" w:cs="Arial"/>
        </w:rPr>
        <w:t xml:space="preserve">niversidad </w:t>
      </w:r>
      <w:r w:rsidR="00264B93">
        <w:rPr>
          <w:rFonts w:ascii="Arial" w:hAnsi="Arial" w:cs="Arial"/>
        </w:rPr>
        <w:t>C</w:t>
      </w:r>
      <w:r w:rsidR="00264B93" w:rsidRPr="00032D45">
        <w:rPr>
          <w:rFonts w:ascii="Arial" w:hAnsi="Arial" w:cs="Arial"/>
        </w:rPr>
        <w:t xml:space="preserve">arlos </w:t>
      </w:r>
      <w:r w:rsidR="00264B93">
        <w:rPr>
          <w:rFonts w:ascii="Arial" w:hAnsi="Arial" w:cs="Arial"/>
        </w:rPr>
        <w:t>III</w:t>
      </w:r>
      <w:r w:rsidR="00264B93" w:rsidRPr="00032D45">
        <w:rPr>
          <w:rFonts w:ascii="Arial" w:hAnsi="Arial" w:cs="Arial"/>
        </w:rPr>
        <w:t xml:space="preserve"> de </w:t>
      </w:r>
      <w:r w:rsidR="00264B93">
        <w:rPr>
          <w:rFonts w:ascii="Arial" w:hAnsi="Arial" w:cs="Arial"/>
        </w:rPr>
        <w:t>M</w:t>
      </w:r>
      <w:r w:rsidR="00264B93" w:rsidRPr="00032D45">
        <w:rPr>
          <w:rFonts w:ascii="Arial" w:hAnsi="Arial" w:cs="Arial"/>
        </w:rPr>
        <w:t>adrid</w:t>
      </w:r>
      <w:r w:rsidR="00264B93">
        <w:rPr>
          <w:rFonts w:ascii="Arial" w:hAnsi="Arial" w:cs="Arial"/>
        </w:rPr>
        <w:t xml:space="preserve"> (2008):</w:t>
      </w:r>
      <w:r w:rsidRPr="00032D45">
        <w:rPr>
          <w:rFonts w:ascii="Arial" w:hAnsi="Arial" w:cs="Arial"/>
        </w:rPr>
        <w:t xml:space="preserve"> </w:t>
      </w:r>
      <w:r w:rsidRPr="00032D45">
        <w:rPr>
          <w:rFonts w:ascii="Arial" w:hAnsi="Arial" w:cs="Arial"/>
          <w:i/>
        </w:rPr>
        <w:t>La Convención Internacional sobre los Derechos de las Personas con Discapacidad y su impacto en el ordenamiento jurídico español</w:t>
      </w:r>
      <w:r w:rsidRPr="00032D45">
        <w:rPr>
          <w:rFonts w:ascii="Arial" w:hAnsi="Arial" w:cs="Arial"/>
        </w:rPr>
        <w:t>, Madrid.</w:t>
      </w:r>
    </w:p>
    <w:p w:rsidR="008105F3" w:rsidRPr="00032D45" w:rsidRDefault="008105F3" w:rsidP="00CC01B7">
      <w:pPr>
        <w:spacing w:after="0"/>
        <w:jc w:val="both"/>
        <w:rPr>
          <w:rFonts w:ascii="Arial" w:hAnsi="Arial" w:cs="Arial"/>
          <w:i/>
        </w:rPr>
      </w:pPr>
      <w:r w:rsidRPr="00032D45">
        <w:rPr>
          <w:rFonts w:ascii="Arial" w:hAnsi="Arial" w:cs="Arial"/>
        </w:rPr>
        <w:t>- J</w:t>
      </w:r>
      <w:r w:rsidR="00264B93">
        <w:rPr>
          <w:rFonts w:ascii="Arial" w:hAnsi="Arial" w:cs="Arial"/>
        </w:rPr>
        <w:t xml:space="preserve">arillo </w:t>
      </w:r>
      <w:proofErr w:type="spellStart"/>
      <w:r w:rsidR="00264B93">
        <w:rPr>
          <w:rFonts w:ascii="Arial" w:hAnsi="Arial" w:cs="Arial"/>
        </w:rPr>
        <w:t>Aldenueva</w:t>
      </w:r>
      <w:proofErr w:type="spellEnd"/>
      <w:r w:rsidRPr="00032D45">
        <w:rPr>
          <w:rFonts w:ascii="Arial" w:hAnsi="Arial" w:cs="Arial"/>
        </w:rPr>
        <w:t>, A.</w:t>
      </w:r>
      <w:r w:rsidR="00264B93">
        <w:rPr>
          <w:rFonts w:ascii="Arial" w:hAnsi="Arial" w:cs="Arial"/>
        </w:rPr>
        <w:t xml:space="preserve"> (2006):</w:t>
      </w:r>
      <w:r w:rsidRPr="00032D45">
        <w:rPr>
          <w:rFonts w:ascii="Arial" w:hAnsi="Arial" w:cs="Arial"/>
        </w:rPr>
        <w:t xml:space="preserve"> </w:t>
      </w:r>
      <w:r w:rsidRPr="00032D45">
        <w:rPr>
          <w:rFonts w:ascii="Arial" w:hAnsi="Arial" w:cs="Arial"/>
          <w:i/>
        </w:rPr>
        <w:t xml:space="preserve">El derecho de participación política y la democracia en el ordenamiento internacional: análisis desde la perspectiva europea, </w:t>
      </w:r>
      <w:r w:rsidR="00264B93" w:rsidRPr="00264B93">
        <w:rPr>
          <w:rFonts w:ascii="Arial" w:hAnsi="Arial" w:cs="Arial"/>
        </w:rPr>
        <w:t xml:space="preserve">Madrid, </w:t>
      </w:r>
      <w:r w:rsidRPr="00032D45">
        <w:rPr>
          <w:rFonts w:ascii="Arial" w:hAnsi="Arial" w:cs="Arial"/>
        </w:rPr>
        <w:t>UNED</w:t>
      </w:r>
      <w:r w:rsidRPr="00032D45">
        <w:rPr>
          <w:rFonts w:ascii="Arial" w:hAnsi="Arial" w:cs="Arial"/>
          <w:i/>
        </w:rPr>
        <w:t>.</w:t>
      </w:r>
    </w:p>
    <w:p w:rsidR="008105F3" w:rsidRPr="00032D45" w:rsidRDefault="008105F3" w:rsidP="00CC01B7">
      <w:pPr>
        <w:spacing w:after="0"/>
        <w:jc w:val="both"/>
        <w:rPr>
          <w:rFonts w:ascii="Arial" w:hAnsi="Arial" w:cs="Arial"/>
        </w:rPr>
      </w:pPr>
      <w:r w:rsidRPr="00032D45">
        <w:rPr>
          <w:rFonts w:ascii="Arial" w:hAnsi="Arial" w:cs="Arial"/>
          <w:i/>
        </w:rPr>
        <w:t xml:space="preserve">- </w:t>
      </w:r>
      <w:r w:rsidRPr="00032D45">
        <w:rPr>
          <w:rFonts w:ascii="Arial" w:hAnsi="Arial" w:cs="Arial"/>
        </w:rPr>
        <w:t>J</w:t>
      </w:r>
      <w:r w:rsidR="00264B93">
        <w:rPr>
          <w:rFonts w:ascii="Arial" w:hAnsi="Arial" w:cs="Arial"/>
        </w:rPr>
        <w:t xml:space="preserve">arillo </w:t>
      </w:r>
      <w:proofErr w:type="spellStart"/>
      <w:r w:rsidR="00264B93">
        <w:rPr>
          <w:rFonts w:ascii="Arial" w:hAnsi="Arial" w:cs="Arial"/>
        </w:rPr>
        <w:t>Aldenueva</w:t>
      </w:r>
      <w:proofErr w:type="spellEnd"/>
      <w:r w:rsidRPr="00032D45">
        <w:rPr>
          <w:rFonts w:ascii="Arial" w:hAnsi="Arial" w:cs="Arial"/>
        </w:rPr>
        <w:t>, A.</w:t>
      </w:r>
      <w:r w:rsidR="00264B93">
        <w:rPr>
          <w:rFonts w:ascii="Arial" w:hAnsi="Arial" w:cs="Arial"/>
        </w:rPr>
        <w:t xml:space="preserve"> (2012):</w:t>
      </w:r>
      <w:r w:rsidRPr="00032D45">
        <w:rPr>
          <w:rFonts w:ascii="Arial" w:hAnsi="Arial" w:cs="Arial"/>
        </w:rPr>
        <w:t xml:space="preserve"> </w:t>
      </w:r>
      <w:r w:rsidRPr="00032D45">
        <w:rPr>
          <w:rFonts w:ascii="Arial" w:hAnsi="Arial" w:cs="Arial"/>
          <w:i/>
        </w:rPr>
        <w:t xml:space="preserve">Pueblos y democracia en Derecho internacional, </w:t>
      </w:r>
      <w:r w:rsidRPr="00032D45">
        <w:rPr>
          <w:rFonts w:ascii="Arial" w:hAnsi="Arial" w:cs="Arial"/>
        </w:rPr>
        <w:t>UNED,</w:t>
      </w:r>
      <w:r w:rsidR="00264B93">
        <w:rPr>
          <w:rFonts w:ascii="Arial" w:hAnsi="Arial" w:cs="Arial"/>
        </w:rPr>
        <w:t xml:space="preserve"> Valencia, </w:t>
      </w:r>
      <w:r w:rsidRPr="00032D45">
        <w:rPr>
          <w:rFonts w:ascii="Arial" w:hAnsi="Arial" w:cs="Arial"/>
        </w:rPr>
        <w:t>Tirant lo Blanch.</w:t>
      </w:r>
    </w:p>
    <w:p w:rsidR="008105F3" w:rsidRPr="00032D45" w:rsidRDefault="008105F3" w:rsidP="00CC01B7">
      <w:pPr>
        <w:spacing w:after="0"/>
        <w:jc w:val="both"/>
        <w:rPr>
          <w:rFonts w:ascii="Arial" w:hAnsi="Arial" w:cs="Arial"/>
        </w:rPr>
      </w:pPr>
      <w:r w:rsidRPr="00032D45">
        <w:rPr>
          <w:rFonts w:ascii="Arial" w:hAnsi="Arial" w:cs="Arial"/>
        </w:rPr>
        <w:t xml:space="preserve">- </w:t>
      </w:r>
      <w:r w:rsidR="00264B93">
        <w:rPr>
          <w:rFonts w:ascii="Arial" w:hAnsi="Arial" w:cs="Arial"/>
          <w:bCs/>
        </w:rPr>
        <w:t xml:space="preserve">López- Medel </w:t>
      </w:r>
      <w:proofErr w:type="spellStart"/>
      <w:r w:rsidR="00264B93">
        <w:rPr>
          <w:rFonts w:ascii="Arial" w:hAnsi="Arial" w:cs="Arial"/>
          <w:bCs/>
        </w:rPr>
        <w:t>Báscones</w:t>
      </w:r>
      <w:proofErr w:type="spellEnd"/>
      <w:r w:rsidRPr="00032D45">
        <w:rPr>
          <w:rFonts w:ascii="Arial" w:hAnsi="Arial" w:cs="Arial"/>
          <w:bCs/>
        </w:rPr>
        <w:t>, J.</w:t>
      </w:r>
      <w:r w:rsidR="00264B93">
        <w:rPr>
          <w:rFonts w:ascii="Arial" w:hAnsi="Arial" w:cs="Arial"/>
          <w:bCs/>
        </w:rPr>
        <w:t xml:space="preserve"> (2015):</w:t>
      </w:r>
      <w:r w:rsidRPr="00032D45">
        <w:rPr>
          <w:rFonts w:ascii="Arial" w:hAnsi="Arial" w:cs="Arial"/>
          <w:bCs/>
        </w:rPr>
        <w:t xml:space="preserve"> </w:t>
      </w:r>
      <w:r w:rsidRPr="00032D45">
        <w:rPr>
          <w:rFonts w:ascii="Arial" w:hAnsi="Arial" w:cs="Arial"/>
          <w:bCs/>
          <w:i/>
        </w:rPr>
        <w:t>¿Es compatible la democracia con la privación de miles de votos a ciudadanos discapacitados?</w:t>
      </w:r>
      <w:r w:rsidRPr="00032D45">
        <w:rPr>
          <w:rFonts w:ascii="Arial" w:hAnsi="Arial" w:cs="Arial"/>
          <w:bCs/>
        </w:rPr>
        <w:t xml:space="preserve">, Sitio web Abogacía Española: </w:t>
      </w:r>
      <w:hyperlink r:id="rId9" w:history="1">
        <w:r w:rsidRPr="00032D45">
          <w:rPr>
            <w:rStyle w:val="Hipervnculo"/>
            <w:rFonts w:ascii="Arial" w:hAnsi="Arial" w:cs="Arial"/>
            <w:bCs/>
            <w:color w:val="auto"/>
            <w:u w:val="none"/>
          </w:rPr>
          <w:t>http://www.abogacia.es/2015/02/25/es-compatible-la-democracia-con-la-privacion-de-miles-de-votos-a-ciudadanos-discapacitados/</w:t>
        </w:r>
      </w:hyperlink>
    </w:p>
    <w:p w:rsidR="008105F3" w:rsidRPr="00032D45" w:rsidRDefault="008105F3" w:rsidP="00CC01B7">
      <w:pPr>
        <w:spacing w:after="0"/>
        <w:jc w:val="both"/>
        <w:rPr>
          <w:rFonts w:ascii="Arial" w:hAnsi="Arial" w:cs="Arial"/>
        </w:rPr>
      </w:pPr>
      <w:r w:rsidRPr="00032D45">
        <w:rPr>
          <w:rFonts w:ascii="Arial" w:hAnsi="Arial" w:cs="Arial"/>
        </w:rPr>
        <w:t>- M</w:t>
      </w:r>
      <w:r w:rsidR="00264B93">
        <w:rPr>
          <w:rFonts w:ascii="Arial" w:hAnsi="Arial" w:cs="Arial"/>
        </w:rPr>
        <w:t xml:space="preserve">artínez- </w:t>
      </w:r>
      <w:proofErr w:type="spellStart"/>
      <w:r w:rsidR="00264B93">
        <w:rPr>
          <w:rFonts w:ascii="Arial" w:hAnsi="Arial" w:cs="Arial"/>
        </w:rPr>
        <w:t>Pujalte</w:t>
      </w:r>
      <w:proofErr w:type="spellEnd"/>
      <w:r w:rsidR="00264B93">
        <w:rPr>
          <w:rFonts w:ascii="Arial" w:hAnsi="Arial" w:cs="Arial"/>
        </w:rPr>
        <w:t xml:space="preserve">, </w:t>
      </w:r>
      <w:r w:rsidRPr="00032D45">
        <w:rPr>
          <w:rFonts w:ascii="Arial" w:hAnsi="Arial" w:cs="Arial"/>
        </w:rPr>
        <w:t>A-L.</w:t>
      </w:r>
      <w:r w:rsidR="00264B93">
        <w:rPr>
          <w:rFonts w:ascii="Arial" w:hAnsi="Arial" w:cs="Arial"/>
        </w:rPr>
        <w:t xml:space="preserve"> (2015):</w:t>
      </w:r>
      <w:r w:rsidRPr="00032D45">
        <w:rPr>
          <w:rFonts w:ascii="Arial" w:hAnsi="Arial" w:cs="Arial"/>
        </w:rPr>
        <w:t xml:space="preserve"> </w:t>
      </w:r>
      <w:r w:rsidRPr="00032D45">
        <w:rPr>
          <w:rFonts w:ascii="Arial" w:hAnsi="Arial" w:cs="Arial"/>
          <w:i/>
        </w:rPr>
        <w:t>Derechos fundamentales y discapacidad</w:t>
      </w:r>
      <w:r w:rsidRPr="00032D45">
        <w:rPr>
          <w:rFonts w:ascii="Arial" w:hAnsi="Arial" w:cs="Arial"/>
        </w:rPr>
        <w:t xml:space="preserve">, CERMI, </w:t>
      </w:r>
      <w:r w:rsidR="00264B93">
        <w:rPr>
          <w:rFonts w:ascii="Arial" w:hAnsi="Arial" w:cs="Arial"/>
        </w:rPr>
        <w:t xml:space="preserve">Madrid, </w:t>
      </w:r>
      <w:r w:rsidRPr="00032D45">
        <w:rPr>
          <w:rFonts w:ascii="Arial" w:hAnsi="Arial" w:cs="Arial"/>
        </w:rPr>
        <w:t>Ediciones Cinca.</w:t>
      </w:r>
    </w:p>
    <w:p w:rsidR="008105F3" w:rsidRPr="00032D45" w:rsidRDefault="008105F3" w:rsidP="00CC01B7">
      <w:pPr>
        <w:spacing w:after="0"/>
        <w:jc w:val="both"/>
        <w:rPr>
          <w:rFonts w:ascii="Arial" w:hAnsi="Arial" w:cs="Arial"/>
        </w:rPr>
      </w:pPr>
      <w:r w:rsidRPr="00032D45">
        <w:rPr>
          <w:rFonts w:ascii="Arial" w:hAnsi="Arial" w:cs="Arial"/>
        </w:rPr>
        <w:t>- O</w:t>
      </w:r>
      <w:r w:rsidR="00264B93">
        <w:rPr>
          <w:rFonts w:ascii="Arial" w:hAnsi="Arial" w:cs="Arial"/>
        </w:rPr>
        <w:t xml:space="preserve">rganización Mundial de la Salud (2001): </w:t>
      </w:r>
      <w:r w:rsidRPr="00032D45">
        <w:rPr>
          <w:rFonts w:ascii="Arial" w:hAnsi="Arial" w:cs="Arial"/>
          <w:i/>
        </w:rPr>
        <w:t>Clasificación Internacional del Funcionamiento, de la Discapacidad y de la Salud (CIF)</w:t>
      </w:r>
      <w:r w:rsidRPr="00032D45">
        <w:rPr>
          <w:rFonts w:ascii="Arial" w:hAnsi="Arial" w:cs="Arial"/>
        </w:rPr>
        <w:t>.</w:t>
      </w:r>
    </w:p>
    <w:p w:rsidR="008105F3" w:rsidRPr="00032D45" w:rsidRDefault="00626F66" w:rsidP="00CC01B7">
      <w:pPr>
        <w:spacing w:after="0"/>
        <w:jc w:val="both"/>
        <w:rPr>
          <w:rFonts w:ascii="Arial" w:hAnsi="Arial" w:cs="Arial"/>
        </w:rPr>
      </w:pPr>
      <w:r>
        <w:rPr>
          <w:rFonts w:ascii="Arial" w:hAnsi="Arial" w:cs="Arial"/>
        </w:rPr>
        <w:t>-</w:t>
      </w:r>
      <w:r w:rsidR="008105F3" w:rsidRPr="00032D45">
        <w:rPr>
          <w:rFonts w:ascii="Arial" w:hAnsi="Arial" w:cs="Arial"/>
        </w:rPr>
        <w:t xml:space="preserve"> P</w:t>
      </w:r>
      <w:r>
        <w:rPr>
          <w:rFonts w:ascii="Arial" w:hAnsi="Arial" w:cs="Arial"/>
        </w:rPr>
        <w:t>érez Alberdi</w:t>
      </w:r>
      <w:r w:rsidR="008105F3" w:rsidRPr="00032D45">
        <w:rPr>
          <w:rFonts w:ascii="Arial" w:hAnsi="Arial" w:cs="Arial"/>
        </w:rPr>
        <w:t>, M.R.</w:t>
      </w:r>
      <w:r>
        <w:rPr>
          <w:rFonts w:ascii="Arial" w:hAnsi="Arial" w:cs="Arial"/>
        </w:rPr>
        <w:t xml:space="preserve"> (2013):</w:t>
      </w:r>
      <w:r w:rsidR="008105F3" w:rsidRPr="00032D45">
        <w:rPr>
          <w:rFonts w:ascii="Arial" w:hAnsi="Arial" w:cs="Arial"/>
        </w:rPr>
        <w:t xml:space="preserve"> “La</w:t>
      </w:r>
      <w:bookmarkStart w:id="1" w:name="_GoBack"/>
      <w:bookmarkEnd w:id="1"/>
      <w:r w:rsidR="008105F3" w:rsidRPr="00032D45">
        <w:rPr>
          <w:rFonts w:ascii="Arial" w:hAnsi="Arial" w:cs="Arial"/>
        </w:rPr>
        <w:t xml:space="preserve"> delimitación del derecho de sufragio activo por el Tribunal Europeo de Derechos Humanos”, UNED, </w:t>
      </w:r>
      <w:r w:rsidR="008105F3" w:rsidRPr="00032D45">
        <w:rPr>
          <w:rFonts w:ascii="Arial" w:hAnsi="Arial" w:cs="Arial"/>
          <w:i/>
        </w:rPr>
        <w:t>Revista de Derecho Político</w:t>
      </w:r>
      <w:r w:rsidR="008105F3" w:rsidRPr="00032D45">
        <w:rPr>
          <w:rFonts w:ascii="Arial" w:hAnsi="Arial" w:cs="Arial"/>
        </w:rPr>
        <w:t>, nº 88.</w:t>
      </w:r>
    </w:p>
    <w:p w:rsidR="008105F3" w:rsidRPr="00032D45" w:rsidRDefault="008105F3" w:rsidP="00CC01B7">
      <w:pPr>
        <w:spacing w:after="0"/>
        <w:jc w:val="both"/>
        <w:rPr>
          <w:rFonts w:ascii="Arial" w:hAnsi="Arial" w:cs="Arial"/>
        </w:rPr>
      </w:pPr>
      <w:r w:rsidRPr="00032D45">
        <w:rPr>
          <w:rFonts w:ascii="Arial" w:hAnsi="Arial" w:cs="Arial"/>
        </w:rPr>
        <w:t>- P</w:t>
      </w:r>
      <w:r w:rsidR="00626F66">
        <w:rPr>
          <w:rFonts w:ascii="Arial" w:hAnsi="Arial" w:cs="Arial"/>
        </w:rPr>
        <w:t xml:space="preserve">érez </w:t>
      </w:r>
      <w:proofErr w:type="spellStart"/>
      <w:r w:rsidR="00626F66">
        <w:rPr>
          <w:rFonts w:ascii="Arial" w:hAnsi="Arial" w:cs="Arial"/>
        </w:rPr>
        <w:t>Luño</w:t>
      </w:r>
      <w:proofErr w:type="spellEnd"/>
      <w:r w:rsidRPr="00032D45">
        <w:rPr>
          <w:rFonts w:ascii="Arial" w:hAnsi="Arial" w:cs="Arial"/>
        </w:rPr>
        <w:t>, A.E.</w:t>
      </w:r>
      <w:r w:rsidR="00626F66">
        <w:rPr>
          <w:rFonts w:ascii="Arial" w:hAnsi="Arial" w:cs="Arial"/>
        </w:rPr>
        <w:t xml:space="preserve"> (2003):</w:t>
      </w:r>
      <w:r w:rsidRPr="00032D45">
        <w:rPr>
          <w:rFonts w:ascii="Arial" w:hAnsi="Arial" w:cs="Arial"/>
        </w:rPr>
        <w:t xml:space="preserve"> </w:t>
      </w:r>
      <w:r w:rsidRPr="00032D45">
        <w:rPr>
          <w:rFonts w:ascii="Arial" w:hAnsi="Arial" w:cs="Arial"/>
          <w:i/>
        </w:rPr>
        <w:t>Derechos humanos, Estado de Derecho y Constitución</w:t>
      </w:r>
      <w:r w:rsidRPr="00032D45">
        <w:rPr>
          <w:rFonts w:ascii="Arial" w:hAnsi="Arial" w:cs="Arial"/>
        </w:rPr>
        <w:t xml:space="preserve">, </w:t>
      </w:r>
      <w:r w:rsidR="00626F66">
        <w:rPr>
          <w:rFonts w:ascii="Arial" w:hAnsi="Arial" w:cs="Arial"/>
        </w:rPr>
        <w:t xml:space="preserve">Madrid, Ed. </w:t>
      </w:r>
      <w:proofErr w:type="spellStart"/>
      <w:r w:rsidRPr="00032D45">
        <w:rPr>
          <w:rFonts w:ascii="Arial" w:hAnsi="Arial" w:cs="Arial"/>
        </w:rPr>
        <w:t>Tecnos</w:t>
      </w:r>
      <w:proofErr w:type="spellEnd"/>
      <w:r w:rsidRPr="00032D45">
        <w:rPr>
          <w:rFonts w:ascii="Arial" w:hAnsi="Arial" w:cs="Arial"/>
        </w:rPr>
        <w:t>.</w:t>
      </w:r>
    </w:p>
    <w:p w:rsidR="008105F3" w:rsidRDefault="008105F3" w:rsidP="00CC01B7">
      <w:pPr>
        <w:spacing w:after="0"/>
        <w:jc w:val="both"/>
        <w:rPr>
          <w:rFonts w:ascii="Arial" w:hAnsi="Arial" w:cs="Arial"/>
        </w:rPr>
      </w:pPr>
      <w:r w:rsidRPr="00032D45">
        <w:rPr>
          <w:rFonts w:ascii="Arial" w:hAnsi="Arial" w:cs="Arial"/>
        </w:rPr>
        <w:t xml:space="preserve">- </w:t>
      </w:r>
      <w:proofErr w:type="spellStart"/>
      <w:r w:rsidRPr="00032D45">
        <w:rPr>
          <w:rFonts w:ascii="Arial" w:hAnsi="Arial" w:cs="Arial"/>
        </w:rPr>
        <w:t>P</w:t>
      </w:r>
      <w:r w:rsidR="00626F66">
        <w:rPr>
          <w:rFonts w:ascii="Arial" w:hAnsi="Arial" w:cs="Arial"/>
        </w:rPr>
        <w:t>resno</w:t>
      </w:r>
      <w:proofErr w:type="spellEnd"/>
      <w:r w:rsidR="00626F66">
        <w:rPr>
          <w:rFonts w:ascii="Arial" w:hAnsi="Arial" w:cs="Arial"/>
        </w:rPr>
        <w:t xml:space="preserve"> Linera,</w:t>
      </w:r>
      <w:r w:rsidRPr="00032D45">
        <w:rPr>
          <w:rFonts w:ascii="Arial" w:hAnsi="Arial" w:cs="Arial"/>
        </w:rPr>
        <w:t xml:space="preserve"> M.A.</w:t>
      </w:r>
      <w:r w:rsidR="00626F66">
        <w:rPr>
          <w:rFonts w:ascii="Arial" w:hAnsi="Arial" w:cs="Arial"/>
        </w:rPr>
        <w:t xml:space="preserve"> (2002):</w:t>
      </w:r>
      <w:r w:rsidRPr="00032D45">
        <w:rPr>
          <w:rFonts w:ascii="Arial" w:hAnsi="Arial" w:cs="Arial"/>
        </w:rPr>
        <w:t xml:space="preserve"> “La titularidad del derecho de participación política”, </w:t>
      </w:r>
      <w:hyperlink r:id="rId10" w:history="1">
        <w:r w:rsidRPr="00032D45">
          <w:rPr>
            <w:rStyle w:val="Hipervnculo"/>
            <w:rFonts w:ascii="Arial" w:hAnsi="Arial" w:cs="Arial"/>
            <w:color w:val="auto"/>
            <w:u w:val="none"/>
          </w:rPr>
          <w:t>Boletín Mexicano de Derecho Comparado</w:t>
        </w:r>
      </w:hyperlink>
      <w:r w:rsidRPr="00032D45">
        <w:rPr>
          <w:rFonts w:ascii="Arial" w:hAnsi="Arial" w:cs="Arial"/>
        </w:rPr>
        <w:t xml:space="preserve">,  </w:t>
      </w:r>
      <w:hyperlink r:id="rId11" w:history="1">
        <w:r w:rsidRPr="00032D45">
          <w:rPr>
            <w:rStyle w:val="Hipervnculo"/>
            <w:rFonts w:ascii="Arial" w:hAnsi="Arial" w:cs="Arial"/>
            <w:color w:val="auto"/>
            <w:u w:val="none"/>
          </w:rPr>
          <w:t>Nº. 104</w:t>
        </w:r>
      </w:hyperlink>
      <w:r w:rsidRPr="00032D45">
        <w:rPr>
          <w:rFonts w:ascii="Arial" w:hAnsi="Arial" w:cs="Arial"/>
        </w:rPr>
        <w:t>.</w:t>
      </w:r>
    </w:p>
    <w:p w:rsidR="008105F3" w:rsidRPr="00032D45" w:rsidRDefault="00626F66" w:rsidP="00CC01B7">
      <w:pPr>
        <w:spacing w:after="0"/>
        <w:jc w:val="both"/>
        <w:rPr>
          <w:rFonts w:ascii="Arial" w:hAnsi="Arial" w:cs="Arial"/>
        </w:rPr>
      </w:pPr>
      <w:r>
        <w:rPr>
          <w:rFonts w:ascii="Arial" w:hAnsi="Arial" w:cs="Arial"/>
        </w:rPr>
        <w:t xml:space="preserve">- </w:t>
      </w:r>
      <w:proofErr w:type="spellStart"/>
      <w:r w:rsidR="008105F3" w:rsidRPr="00032D45">
        <w:rPr>
          <w:rFonts w:ascii="Arial" w:hAnsi="Arial" w:cs="Arial"/>
        </w:rPr>
        <w:t>S</w:t>
      </w:r>
      <w:r>
        <w:rPr>
          <w:rFonts w:ascii="Arial" w:hAnsi="Arial" w:cs="Arial"/>
        </w:rPr>
        <w:t>an</w:t>
      </w:r>
      <w:r w:rsidR="00246623">
        <w:rPr>
          <w:rFonts w:ascii="Arial" w:hAnsi="Arial" w:cs="Arial"/>
        </w:rPr>
        <w:t>j</w:t>
      </w:r>
      <w:r>
        <w:rPr>
          <w:rFonts w:ascii="Arial" w:hAnsi="Arial" w:cs="Arial"/>
        </w:rPr>
        <w:t>osé</w:t>
      </w:r>
      <w:proofErr w:type="spellEnd"/>
      <w:r>
        <w:rPr>
          <w:rFonts w:ascii="Arial" w:hAnsi="Arial" w:cs="Arial"/>
        </w:rPr>
        <w:t xml:space="preserve"> Gil</w:t>
      </w:r>
      <w:r w:rsidR="008105F3" w:rsidRPr="00032D45">
        <w:rPr>
          <w:rFonts w:ascii="Arial" w:hAnsi="Arial" w:cs="Arial"/>
        </w:rPr>
        <w:t>, A.</w:t>
      </w:r>
      <w:r>
        <w:rPr>
          <w:rFonts w:ascii="Arial" w:hAnsi="Arial" w:cs="Arial"/>
        </w:rPr>
        <w:t xml:space="preserve"> (2007)</w:t>
      </w:r>
      <w:r w:rsidR="008105F3" w:rsidRPr="00032D45">
        <w:rPr>
          <w:rFonts w:ascii="Arial" w:hAnsi="Arial" w:cs="Arial"/>
        </w:rPr>
        <w:t xml:space="preserve">, “El primer tratado de derechos humanos del siglo XXI: La Convención sobre los Derechos de las Personas con Discapacidad”, </w:t>
      </w:r>
      <w:r w:rsidR="008105F3" w:rsidRPr="00032D45">
        <w:rPr>
          <w:rFonts w:ascii="Arial" w:hAnsi="Arial" w:cs="Arial"/>
          <w:i/>
        </w:rPr>
        <w:t xml:space="preserve">REEI, </w:t>
      </w:r>
      <w:r w:rsidR="008105F3" w:rsidRPr="00032D45">
        <w:rPr>
          <w:rFonts w:ascii="Arial" w:hAnsi="Arial" w:cs="Arial"/>
        </w:rPr>
        <w:t>número 13.</w:t>
      </w:r>
    </w:p>
    <w:p w:rsidR="008105F3" w:rsidRPr="00032D45" w:rsidRDefault="00626F66" w:rsidP="00CC01B7">
      <w:pPr>
        <w:spacing w:after="0"/>
        <w:jc w:val="both"/>
        <w:rPr>
          <w:rFonts w:ascii="Arial" w:hAnsi="Arial" w:cs="Arial"/>
        </w:rPr>
      </w:pPr>
      <w:r>
        <w:rPr>
          <w:rFonts w:ascii="Arial" w:hAnsi="Arial" w:cs="Arial"/>
        </w:rPr>
        <w:lastRenderedPageBreak/>
        <w:t xml:space="preserve">- </w:t>
      </w:r>
      <w:proofErr w:type="spellStart"/>
      <w:r w:rsidRPr="00032D45">
        <w:rPr>
          <w:rFonts w:ascii="Arial" w:hAnsi="Arial" w:cs="Arial"/>
        </w:rPr>
        <w:t>S</w:t>
      </w:r>
      <w:r>
        <w:rPr>
          <w:rFonts w:ascii="Arial" w:hAnsi="Arial" w:cs="Arial"/>
        </w:rPr>
        <w:t>an</w:t>
      </w:r>
      <w:r w:rsidR="00246623">
        <w:rPr>
          <w:rFonts w:ascii="Arial" w:hAnsi="Arial" w:cs="Arial"/>
        </w:rPr>
        <w:t>j</w:t>
      </w:r>
      <w:r>
        <w:rPr>
          <w:rFonts w:ascii="Arial" w:hAnsi="Arial" w:cs="Arial"/>
        </w:rPr>
        <w:t>osé</w:t>
      </w:r>
      <w:proofErr w:type="spellEnd"/>
      <w:r>
        <w:rPr>
          <w:rFonts w:ascii="Arial" w:hAnsi="Arial" w:cs="Arial"/>
        </w:rPr>
        <w:t xml:space="preserve"> Gil</w:t>
      </w:r>
      <w:r w:rsidR="008105F3" w:rsidRPr="00032D45">
        <w:rPr>
          <w:rFonts w:ascii="Arial" w:hAnsi="Arial" w:cs="Arial"/>
        </w:rPr>
        <w:t>, A.</w:t>
      </w:r>
      <w:r>
        <w:rPr>
          <w:rFonts w:ascii="Arial" w:hAnsi="Arial" w:cs="Arial"/>
        </w:rPr>
        <w:t xml:space="preserve"> (2007):</w:t>
      </w:r>
      <w:r w:rsidR="008105F3" w:rsidRPr="00032D45">
        <w:rPr>
          <w:rFonts w:ascii="Arial" w:hAnsi="Arial" w:cs="Arial"/>
        </w:rPr>
        <w:t xml:space="preserve"> “Situación del Proyecto de Convenio de las Naciones Unidas sobre los Derechos de las Personas con Discapacidad” en FERNÁNDEZ LIESA, C., </w:t>
      </w:r>
      <w:r w:rsidR="008105F3" w:rsidRPr="00032D45">
        <w:rPr>
          <w:rFonts w:ascii="Arial" w:hAnsi="Arial" w:cs="Arial"/>
          <w:i/>
        </w:rPr>
        <w:t>La protección internacional de las personas con discapacidad</w:t>
      </w:r>
      <w:r w:rsidR="00246623">
        <w:rPr>
          <w:rFonts w:ascii="Arial" w:hAnsi="Arial" w:cs="Arial"/>
        </w:rPr>
        <w:t xml:space="preserve">, </w:t>
      </w:r>
      <w:r w:rsidR="00246623" w:rsidRPr="00246623">
        <w:rPr>
          <w:rFonts w:ascii="Arial" w:hAnsi="Arial" w:cs="Arial"/>
        </w:rPr>
        <w:t>Universidad Carlos III De Madrid</w:t>
      </w:r>
      <w:r w:rsidR="00246623">
        <w:rPr>
          <w:rFonts w:ascii="Arial" w:hAnsi="Arial" w:cs="Arial"/>
        </w:rPr>
        <w:t>, Madrid,</w:t>
      </w:r>
      <w:r w:rsidR="00246623" w:rsidRPr="00246623">
        <w:rPr>
          <w:rFonts w:ascii="Arial" w:hAnsi="Arial" w:cs="Arial"/>
        </w:rPr>
        <w:t xml:space="preserve"> Boletín</w:t>
      </w:r>
      <w:r w:rsidR="00246623">
        <w:rPr>
          <w:rFonts w:ascii="Arial" w:hAnsi="Arial" w:cs="Arial"/>
        </w:rPr>
        <w:t xml:space="preserve"> Oficial del Estado.</w:t>
      </w:r>
    </w:p>
    <w:p w:rsidR="00A402FB" w:rsidRPr="00032D45" w:rsidRDefault="008105F3" w:rsidP="00CC01B7">
      <w:pPr>
        <w:spacing w:after="0"/>
        <w:jc w:val="both"/>
        <w:rPr>
          <w:rFonts w:ascii="Arial" w:hAnsi="Arial" w:cs="Arial"/>
        </w:rPr>
      </w:pPr>
      <w:r w:rsidRPr="00032D45">
        <w:rPr>
          <w:rFonts w:ascii="Arial" w:hAnsi="Arial" w:cs="Arial"/>
        </w:rPr>
        <w:t>- S</w:t>
      </w:r>
      <w:r w:rsidR="00A418FD">
        <w:rPr>
          <w:rFonts w:ascii="Arial" w:hAnsi="Arial" w:cs="Arial"/>
        </w:rPr>
        <w:t>ánchez- Molina</w:t>
      </w:r>
      <w:r w:rsidRPr="00032D45">
        <w:rPr>
          <w:rFonts w:ascii="Arial" w:hAnsi="Arial" w:cs="Arial"/>
        </w:rPr>
        <w:t>, P.</w:t>
      </w:r>
      <w:r w:rsidR="00A418FD">
        <w:rPr>
          <w:rFonts w:ascii="Arial" w:hAnsi="Arial" w:cs="Arial"/>
        </w:rPr>
        <w:t xml:space="preserve"> (2014):</w:t>
      </w:r>
      <w:r w:rsidRPr="00032D45">
        <w:rPr>
          <w:rFonts w:ascii="Arial" w:hAnsi="Arial" w:cs="Arial"/>
        </w:rPr>
        <w:t xml:space="preserve"> “El margen de apreciación nacional en las sentencias del Tribunal Europeo de Derechos Humanos relativa al derecho a elecciones libres”, </w:t>
      </w:r>
      <w:r w:rsidR="00A418FD">
        <w:rPr>
          <w:rFonts w:ascii="Arial" w:hAnsi="Arial" w:cs="Arial"/>
        </w:rPr>
        <w:t xml:space="preserve">Bilbao, </w:t>
      </w:r>
      <w:r w:rsidRPr="00A418FD">
        <w:rPr>
          <w:rFonts w:ascii="Arial" w:hAnsi="Arial" w:cs="Arial"/>
        </w:rPr>
        <w:t>Estudios de Deusto</w:t>
      </w:r>
      <w:r w:rsidRPr="00032D45">
        <w:rPr>
          <w:rFonts w:ascii="Arial" w:hAnsi="Arial" w:cs="Arial"/>
        </w:rPr>
        <w:t>, Vol. 62/1.</w:t>
      </w:r>
    </w:p>
    <w:sectPr w:rsidR="00A402FB" w:rsidRPr="00032D45" w:rsidSect="00B154EF">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708" w:rsidRDefault="00D67708" w:rsidP="000C533F">
      <w:pPr>
        <w:spacing w:after="0" w:line="240" w:lineRule="auto"/>
      </w:pPr>
      <w:r>
        <w:separator/>
      </w:r>
    </w:p>
  </w:endnote>
  <w:endnote w:type="continuationSeparator" w:id="0">
    <w:p w:rsidR="00D67708" w:rsidRDefault="00D67708" w:rsidP="000C5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070734"/>
      <w:docPartObj>
        <w:docPartGallery w:val="Page Numbers (Bottom of Page)"/>
        <w:docPartUnique/>
      </w:docPartObj>
    </w:sdtPr>
    <w:sdtEndPr/>
    <w:sdtContent>
      <w:p w:rsidR="00626F66" w:rsidRDefault="00626F66">
        <w:pPr>
          <w:pStyle w:val="Piedepgina"/>
          <w:jc w:val="right"/>
        </w:pPr>
        <w:r>
          <w:fldChar w:fldCharType="begin"/>
        </w:r>
        <w:r>
          <w:instrText>PAGE   \* MERGEFORMAT</w:instrText>
        </w:r>
        <w:r>
          <w:fldChar w:fldCharType="separate"/>
        </w:r>
        <w:r w:rsidR="00CC01B7">
          <w:rPr>
            <w:noProof/>
          </w:rPr>
          <w:t>24</w:t>
        </w:r>
        <w:r>
          <w:rPr>
            <w:noProof/>
          </w:rPr>
          <w:fldChar w:fldCharType="end"/>
        </w:r>
      </w:p>
    </w:sdtContent>
  </w:sdt>
  <w:p w:rsidR="00626F66" w:rsidRDefault="00626F6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708" w:rsidRDefault="00D67708" w:rsidP="000C533F">
      <w:pPr>
        <w:spacing w:after="0" w:line="240" w:lineRule="auto"/>
      </w:pPr>
      <w:r>
        <w:separator/>
      </w:r>
    </w:p>
  </w:footnote>
  <w:footnote w:type="continuationSeparator" w:id="0">
    <w:p w:rsidR="00D67708" w:rsidRDefault="00D67708" w:rsidP="000C533F">
      <w:pPr>
        <w:spacing w:after="0" w:line="240" w:lineRule="auto"/>
      </w:pPr>
      <w:r>
        <w:continuationSeparator/>
      </w:r>
    </w:p>
  </w:footnote>
  <w:footnote w:id="1">
    <w:p w:rsidR="00626F66" w:rsidRDefault="00626F66" w:rsidP="00CB59ED">
      <w:pPr>
        <w:pStyle w:val="Textonotapie"/>
      </w:pPr>
      <w:r>
        <w:rPr>
          <w:rStyle w:val="Refdenotaalpie"/>
        </w:rPr>
        <w:footnoteRef/>
      </w:r>
      <w:r>
        <w:t xml:space="preserve"> Resolución Asamblea General, </w:t>
      </w:r>
      <w:smartTag w:uri="urn:schemas-microsoft-com:office:smarttags" w:element="metricconverter">
        <w:smartTagPr>
          <w:attr w:name="ProductID" w:val="217 A"/>
        </w:smartTagPr>
        <w:r>
          <w:t>217 A</w:t>
        </w:r>
      </w:smartTag>
      <w:r>
        <w:t xml:space="preserve"> (III), el 10 de diciembre de 1948 en París.</w:t>
      </w:r>
    </w:p>
  </w:footnote>
  <w:footnote w:id="2">
    <w:p w:rsidR="00626F66" w:rsidRPr="00641BDD" w:rsidRDefault="00626F66" w:rsidP="00641BDD">
      <w:pPr>
        <w:pStyle w:val="Textonotapie"/>
        <w:rPr>
          <w:b/>
          <w:bCs/>
          <w:i/>
        </w:rPr>
      </w:pPr>
      <w:r>
        <w:rPr>
          <w:rStyle w:val="Refdenotaalpie"/>
        </w:rPr>
        <w:footnoteRef/>
      </w:r>
      <w:r>
        <w:t xml:space="preserve"> </w:t>
      </w:r>
      <w:r w:rsidRPr="00AB4E0A">
        <w:rPr>
          <w:bCs/>
        </w:rPr>
        <w:t>“</w:t>
      </w:r>
      <w:r w:rsidRPr="00AB4E0A">
        <w:rPr>
          <w:bCs/>
          <w:i/>
        </w:rPr>
        <w:t>Artículo 21</w:t>
      </w:r>
    </w:p>
    <w:p w:rsidR="00626F66" w:rsidRPr="00641BDD" w:rsidRDefault="00626F66" w:rsidP="00641BDD">
      <w:pPr>
        <w:pStyle w:val="Textonotapie"/>
        <w:numPr>
          <w:ilvl w:val="0"/>
          <w:numId w:val="2"/>
        </w:numPr>
        <w:rPr>
          <w:i/>
        </w:rPr>
      </w:pPr>
      <w:r w:rsidRPr="00641BDD">
        <w:rPr>
          <w:i/>
        </w:rPr>
        <w:t>Toda persona tiene derecho a participar en el gobierno de su país, directamente o por medio de representantes libremente escogidos.</w:t>
      </w:r>
    </w:p>
    <w:p w:rsidR="00626F66" w:rsidRPr="00641BDD" w:rsidRDefault="00626F66" w:rsidP="00641BDD">
      <w:pPr>
        <w:pStyle w:val="Textonotapie"/>
        <w:numPr>
          <w:ilvl w:val="0"/>
          <w:numId w:val="2"/>
        </w:numPr>
        <w:rPr>
          <w:i/>
        </w:rPr>
      </w:pPr>
      <w:r w:rsidRPr="00641BDD">
        <w:rPr>
          <w:i/>
        </w:rPr>
        <w:t>Toda persona tiene el derecho de acceso, en condiciones de igualdad, a las funciones públicas de su país.</w:t>
      </w:r>
    </w:p>
    <w:p w:rsidR="00626F66" w:rsidRPr="00641BDD" w:rsidRDefault="00626F66" w:rsidP="00641BDD">
      <w:pPr>
        <w:pStyle w:val="Textonotapie"/>
        <w:numPr>
          <w:ilvl w:val="0"/>
          <w:numId w:val="2"/>
        </w:numPr>
        <w:rPr>
          <w:i/>
        </w:rPr>
      </w:pPr>
      <w:r w:rsidRPr="00641BDD">
        <w:rPr>
          <w:i/>
        </w:rPr>
        <w:t>La voluntad del pueblo es la base de la autoridad del poder público; esta voluntad se expresará mediante elecciones auténticas que habrán de celebrarse periódicamente, por sufragio universal e igual y por voto secreto u otro procedimiento equivalente que garantice la libertad del voto.”</w:t>
      </w:r>
    </w:p>
  </w:footnote>
  <w:footnote w:id="3">
    <w:p w:rsidR="00626F66" w:rsidRPr="009816DA" w:rsidRDefault="00626F66" w:rsidP="00641BDD">
      <w:pPr>
        <w:pStyle w:val="Textonotapie"/>
      </w:pPr>
      <w:r>
        <w:rPr>
          <w:rStyle w:val="Refdenotaalpie"/>
        </w:rPr>
        <w:footnoteRef/>
      </w:r>
      <w:r>
        <w:t xml:space="preserve"> </w:t>
      </w:r>
      <w:r w:rsidRPr="009816DA">
        <w:t>“Artículo 25: Todos los ciudadanos gozarán, sin ninguna de las distinciones mencionadas en el artículo 2, y sin restricciones indebidas, de los siguientes derechos y oportunidades:</w:t>
      </w:r>
    </w:p>
    <w:p w:rsidR="00626F66" w:rsidRPr="009816DA" w:rsidRDefault="00626F66" w:rsidP="00641BDD">
      <w:pPr>
        <w:pStyle w:val="Textonotapie"/>
      </w:pPr>
      <w:r w:rsidRPr="009816DA">
        <w:t xml:space="preserve">a) Participar en la dirección de los asuntos públicos, directamente o por medio de representantes libremente elegidos; </w:t>
      </w:r>
      <w:r w:rsidRPr="009816DA">
        <w:tab/>
      </w:r>
    </w:p>
    <w:p w:rsidR="00626F66" w:rsidRPr="009816DA" w:rsidRDefault="00626F66" w:rsidP="00641BDD">
      <w:pPr>
        <w:pStyle w:val="Textonotapie"/>
      </w:pPr>
      <w:r w:rsidRPr="009816DA">
        <w:t xml:space="preserve">b) Votar y ser elegidos en elecciones periódicas, auténticas, realizadas por sufragio universal e igual y por voto secreto que garantice la libre expresión de la voluntad de los electores; </w:t>
      </w:r>
    </w:p>
    <w:p w:rsidR="00626F66" w:rsidRDefault="00626F66" w:rsidP="00641BDD">
      <w:pPr>
        <w:pStyle w:val="Textonotapie"/>
      </w:pPr>
      <w:r w:rsidRPr="009816DA">
        <w:t>c) Tener acceso, en condiciones generales de igualdad, a las funciones públicas de su país.”</w:t>
      </w:r>
    </w:p>
  </w:footnote>
  <w:footnote w:id="4">
    <w:p w:rsidR="00626F66" w:rsidRDefault="00626F66" w:rsidP="000C533F">
      <w:pPr>
        <w:pStyle w:val="Textonotapie"/>
        <w:jc w:val="both"/>
      </w:pPr>
      <w:r>
        <w:rPr>
          <w:rStyle w:val="Refdenotaalpie"/>
        </w:rPr>
        <w:footnoteRef/>
      </w:r>
      <w:r>
        <w:t xml:space="preserve"> Comité de Derechos Humanos. </w:t>
      </w:r>
      <w:proofErr w:type="spellStart"/>
      <w:r>
        <w:t>Gillot</w:t>
      </w:r>
      <w:proofErr w:type="spellEnd"/>
      <w:r>
        <w:t xml:space="preserve"> y otros contra Francia. Comunicación nº 932/2000, párrafo 13.7.</w:t>
      </w:r>
    </w:p>
  </w:footnote>
  <w:footnote w:id="5">
    <w:p w:rsidR="00626F66" w:rsidRDefault="00626F66" w:rsidP="000C533F">
      <w:pPr>
        <w:pStyle w:val="Textonotapie"/>
        <w:jc w:val="both"/>
      </w:pPr>
      <w:r>
        <w:rPr>
          <w:rStyle w:val="Refdenotaalpie"/>
        </w:rPr>
        <w:footnoteRef/>
      </w:r>
      <w:r>
        <w:t xml:space="preserve"> </w:t>
      </w:r>
      <w:r w:rsidRPr="00CF76CA">
        <w:rPr>
          <w:shd w:val="clear" w:color="auto" w:fill="FFFFFF"/>
        </w:rPr>
        <w:t xml:space="preserve">Comité de Derechos Humanos. Comunicación Nº 927/2000. </w:t>
      </w:r>
      <w:proofErr w:type="spellStart"/>
      <w:r w:rsidRPr="00CF76CA">
        <w:rPr>
          <w:shd w:val="clear" w:color="auto" w:fill="FFFFFF"/>
        </w:rPr>
        <w:t>Svetik</w:t>
      </w:r>
      <w:proofErr w:type="spellEnd"/>
      <w:r w:rsidRPr="00CF76CA">
        <w:rPr>
          <w:shd w:val="clear" w:color="auto" w:fill="FFFFFF"/>
        </w:rPr>
        <w:t xml:space="preserve"> v. </w:t>
      </w:r>
      <w:proofErr w:type="spellStart"/>
      <w:r w:rsidRPr="00CF76CA">
        <w:rPr>
          <w:shd w:val="clear" w:color="auto" w:fill="FFFFFF"/>
        </w:rPr>
        <w:t>Belarús</w:t>
      </w:r>
      <w:proofErr w:type="spellEnd"/>
      <w:r w:rsidRPr="00CF76CA">
        <w:rPr>
          <w:shd w:val="clear" w:color="auto" w:fill="FFFFFF"/>
        </w:rPr>
        <w:t>. En http://www.unhchr.ch/tbs/doc.nsf/(Symbol)/18a47c57f4693987c1256f0000482f30?Opendocument.</w:t>
      </w:r>
    </w:p>
  </w:footnote>
  <w:footnote w:id="6">
    <w:p w:rsidR="00626F66" w:rsidRDefault="00626F66" w:rsidP="001719F8">
      <w:pPr>
        <w:pStyle w:val="Textonotapie"/>
        <w:jc w:val="both"/>
      </w:pPr>
      <w:r>
        <w:rPr>
          <w:rStyle w:val="Refdenotaalpie"/>
        </w:rPr>
        <w:footnoteRef/>
      </w:r>
      <w:r>
        <w:t xml:space="preserve"> El artículo 2 de la Convención define el concepto: “</w:t>
      </w:r>
      <w:r w:rsidRPr="00B82135">
        <w:t>Por “ajustes razonables” se entenderán las</w:t>
      </w:r>
      <w:r>
        <w:t xml:space="preserve"> </w:t>
      </w:r>
      <w:r w:rsidRPr="00B82135">
        <w:t>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w:t>
      </w:r>
      <w:r>
        <w:t>nos y libertades fundamentales.”</w:t>
      </w:r>
    </w:p>
  </w:footnote>
  <w:footnote w:id="7">
    <w:p w:rsidR="00626F66" w:rsidRPr="001719F8" w:rsidRDefault="00626F66" w:rsidP="001719F8">
      <w:pPr>
        <w:pStyle w:val="Textonotapie"/>
        <w:jc w:val="both"/>
      </w:pPr>
      <w:r w:rsidRPr="001719F8">
        <w:rPr>
          <w:rStyle w:val="Refdenotaalpie"/>
          <w:i/>
        </w:rPr>
        <w:footnoteRef/>
      </w:r>
      <w:r w:rsidRPr="001719F8">
        <w:rPr>
          <w:i/>
        </w:rPr>
        <w:t xml:space="preserve"> </w:t>
      </w:r>
      <w:r w:rsidRPr="001719F8">
        <w:t>“Artículo 29.</w:t>
      </w:r>
      <w:r w:rsidRPr="001719F8">
        <w:rPr>
          <w:b/>
        </w:rPr>
        <w:t xml:space="preserve"> </w:t>
      </w:r>
      <w:r w:rsidRPr="001719F8">
        <w:t>Participación en la vida política y pública.</w:t>
      </w:r>
    </w:p>
    <w:p w:rsidR="00626F66" w:rsidRPr="001719F8" w:rsidRDefault="00626F66" w:rsidP="001719F8">
      <w:pPr>
        <w:pStyle w:val="Textonotapie"/>
        <w:jc w:val="both"/>
      </w:pPr>
      <w:r w:rsidRPr="001719F8">
        <w:t xml:space="preserve">Los Estados Partes garantizarán a las personas con discapacidad los derechos políticos y la posibilidad de gozar de ellos en igualdad de condiciones con las demás y se comprometerán a: </w:t>
      </w:r>
    </w:p>
    <w:p w:rsidR="00626F66" w:rsidRPr="001719F8" w:rsidRDefault="00626F66" w:rsidP="001719F8">
      <w:pPr>
        <w:pStyle w:val="Textonotapie"/>
        <w:jc w:val="both"/>
      </w:pPr>
      <w:r w:rsidRPr="001719F8">
        <w:t xml:space="preserve">a) Asegurar que las personas con discapacidad puedan participar plena y efectivamente en la vida política y pública en igualdad de condiciones con las demás, directamente o a través de representantes libremente elegidos, incluidos el derecho y la posibilidad de las personas con discapacidad a votar y ser elegidas, entre otras formas mediante: i) La garantía de que los procedimientos, instalaciones y materiales electorales sean adecuados, accesibles y fáciles de entender y utilizar; ii) La protección del derecho de las personas con discapacidad a emitir su voto en secreto en elecciones y referéndum públicos sin intimidación, y a presentarse efectivamente como candidatas en las elecciones, ejercer cargos y desempeñar cualquier función pública a todos los niveles de gobierno, facilitando el uso de nuevas tecnologías y tecnologías de apoyo cuando proceda; iii) La garantía de la libre expresión de la voluntad de las personas con discapacidad como electores y a este fin, cuando sea necesario y a petición de ellas, permitir que una persona de su elección les preste asistencia para votar; </w:t>
      </w:r>
    </w:p>
    <w:p w:rsidR="00626F66" w:rsidRPr="001719F8" w:rsidRDefault="00626F66" w:rsidP="001719F8">
      <w:pPr>
        <w:pStyle w:val="Textonotapie"/>
        <w:jc w:val="both"/>
      </w:pPr>
      <w:r w:rsidRPr="001719F8">
        <w:t>b) Promover activamente un entorno en el que las personas con discapacidad puedan participar plena y efectivamente en la dirección de los asuntos públicos, sin discriminación y en igualdad de condiciones con las demás, y fomentar su participación en los asuntos públicos y, entre otras cosas: i) Su participación en organizaciones y asociaciones no gubernamentales relacionadas con la vida pública y política del país, incluidas las actividades y la administración de los partidos políticos; ii) La constitución de organizaciones de personas con discapacidad que representen a estas personas a nivel internacional, nacional, regional y local, y su incorporación a dichas organizaciones.”</w:t>
      </w:r>
    </w:p>
  </w:footnote>
  <w:footnote w:id="8">
    <w:p w:rsidR="00626F66" w:rsidRDefault="00626F66" w:rsidP="000C533F">
      <w:pPr>
        <w:pStyle w:val="Textonotapie"/>
      </w:pPr>
      <w:r>
        <w:rPr>
          <w:rStyle w:val="Refdenotaalpie"/>
        </w:rPr>
        <w:footnoteRef/>
      </w:r>
      <w:r>
        <w:t xml:space="preserve"> La ratificación del Reino de España se produjo el 23 de noviembre de 2007, y publicado en el BOE de 21 de abril de 2008, lo que condujo a la entrada en vigor de este tratado internacional en nuestro país el 3 de mayo de 2008.</w:t>
      </w:r>
    </w:p>
  </w:footnote>
  <w:footnote w:id="9">
    <w:p w:rsidR="00626F66" w:rsidRPr="00A83CB6" w:rsidRDefault="00626F66" w:rsidP="00AE3929">
      <w:pPr>
        <w:pStyle w:val="Textonotapie"/>
        <w:jc w:val="both"/>
        <w:rPr>
          <w:i/>
        </w:rPr>
      </w:pPr>
      <w:r>
        <w:rPr>
          <w:rStyle w:val="Refdenotaalpie"/>
        </w:rPr>
        <w:footnoteRef/>
      </w:r>
      <w:r>
        <w:t xml:space="preserve"> Artículo 12: </w:t>
      </w:r>
      <w:r>
        <w:rPr>
          <w:i/>
        </w:rPr>
        <w:t>“</w:t>
      </w:r>
      <w:r w:rsidRPr="00A83CB6">
        <w:rPr>
          <w:i/>
        </w:rPr>
        <w:t>1. Los Estados Partes reafirman que las personas con discapacidad tienen</w:t>
      </w:r>
      <w:r>
        <w:rPr>
          <w:i/>
        </w:rPr>
        <w:t xml:space="preserve"> </w:t>
      </w:r>
      <w:r w:rsidRPr="00A83CB6">
        <w:rPr>
          <w:i/>
        </w:rPr>
        <w:t>derecho en todas partes al reconocimiento de su personalidad jurídica.</w:t>
      </w:r>
      <w:r>
        <w:rPr>
          <w:i/>
        </w:rPr>
        <w:t xml:space="preserve"> </w:t>
      </w:r>
      <w:r w:rsidRPr="00A83CB6">
        <w:rPr>
          <w:i/>
        </w:rPr>
        <w:t>2. Los Estados Partes reconocerán que las personas con discapacidad tienen</w:t>
      </w:r>
      <w:r>
        <w:rPr>
          <w:i/>
        </w:rPr>
        <w:t xml:space="preserve"> </w:t>
      </w:r>
      <w:r w:rsidRPr="00A83CB6">
        <w:rPr>
          <w:i/>
        </w:rPr>
        <w:t>capacidad jurídica en igualdad de condiciones con las demás en todos los</w:t>
      </w:r>
      <w:r>
        <w:rPr>
          <w:i/>
        </w:rPr>
        <w:t xml:space="preserve"> </w:t>
      </w:r>
      <w:r w:rsidRPr="00A83CB6">
        <w:rPr>
          <w:i/>
        </w:rPr>
        <w:t>aspectos de la vida.</w:t>
      </w:r>
      <w:r>
        <w:rPr>
          <w:i/>
        </w:rPr>
        <w:t xml:space="preserve"> </w:t>
      </w:r>
      <w:r w:rsidRPr="00A83CB6">
        <w:rPr>
          <w:i/>
        </w:rPr>
        <w:t>3. Los Estados Partes adoptarán las medidas pertinentes para proporcionar</w:t>
      </w:r>
      <w:r>
        <w:rPr>
          <w:i/>
        </w:rPr>
        <w:t xml:space="preserve"> </w:t>
      </w:r>
      <w:r w:rsidRPr="00A83CB6">
        <w:rPr>
          <w:i/>
        </w:rPr>
        <w:t>acceso a las personas con discapacidad al apoyo que puedan necesitar en el</w:t>
      </w:r>
      <w:r>
        <w:rPr>
          <w:i/>
        </w:rPr>
        <w:t xml:space="preserve"> </w:t>
      </w:r>
      <w:r w:rsidRPr="00A83CB6">
        <w:rPr>
          <w:i/>
        </w:rPr>
        <w:t>ejercicio de su capacidad jurídica.</w:t>
      </w:r>
      <w:r>
        <w:rPr>
          <w:i/>
        </w:rPr>
        <w:t xml:space="preserve"> </w:t>
      </w:r>
      <w:r w:rsidRPr="00A83CB6">
        <w:rPr>
          <w:i/>
        </w:rPr>
        <w:t>4. Los Estados Partes asegurarán que en todas las medidas relativas al</w:t>
      </w:r>
      <w:r>
        <w:rPr>
          <w:i/>
        </w:rPr>
        <w:t xml:space="preserve"> </w:t>
      </w:r>
      <w:r w:rsidRPr="00A83CB6">
        <w:rPr>
          <w:i/>
        </w:rPr>
        <w:t>ejercicio de la capacidad jurídica se proporcionen salvaguardias adecuadas y</w:t>
      </w:r>
      <w:r>
        <w:rPr>
          <w:i/>
        </w:rPr>
        <w:t xml:space="preserve"> </w:t>
      </w:r>
      <w:r w:rsidRPr="00A83CB6">
        <w:rPr>
          <w:i/>
        </w:rPr>
        <w:t>efectivas para impedir los abusos de conformidad con el derecho internacional</w:t>
      </w:r>
      <w:r>
        <w:rPr>
          <w:i/>
        </w:rPr>
        <w:t xml:space="preserve"> </w:t>
      </w:r>
      <w:r w:rsidRPr="00A83CB6">
        <w:rPr>
          <w:i/>
        </w:rPr>
        <w:t>en materia de derechos humanos.</w:t>
      </w:r>
      <w:r>
        <w:rPr>
          <w:i/>
        </w:rPr>
        <w:t xml:space="preserve"> […]”</w:t>
      </w:r>
    </w:p>
  </w:footnote>
  <w:footnote w:id="10">
    <w:p w:rsidR="00626F66" w:rsidRPr="00AC4937" w:rsidRDefault="00626F66" w:rsidP="000C533F">
      <w:pPr>
        <w:pStyle w:val="Textonotapie"/>
        <w:jc w:val="both"/>
      </w:pPr>
      <w:r>
        <w:rPr>
          <w:rStyle w:val="Refdenotaalpie"/>
        </w:rPr>
        <w:footnoteRef/>
      </w:r>
      <w:r w:rsidRPr="00AC4937">
        <w:t xml:space="preserve"> Las únicas reservas y Declaraciones interpretativas formuladas sobre el artículo 29 de la CDPD fueron las de Francia, Malta,</w:t>
      </w:r>
      <w:r w:rsidRPr="00AC4937">
        <w:rPr>
          <w:i/>
        </w:rPr>
        <w:t xml:space="preserve"> </w:t>
      </w:r>
      <w:r w:rsidRPr="00AC4937">
        <w:t>Singapur y la República Islámica de Irán.</w:t>
      </w:r>
    </w:p>
  </w:footnote>
  <w:footnote w:id="11">
    <w:p w:rsidR="00626F66" w:rsidRPr="00316889" w:rsidRDefault="00626F66" w:rsidP="00892038">
      <w:pPr>
        <w:pStyle w:val="Textonotapie"/>
      </w:pPr>
      <w:r w:rsidRPr="00D30699">
        <w:rPr>
          <w:rStyle w:val="Refdenotaalpie"/>
        </w:rPr>
        <w:footnoteRef/>
      </w:r>
      <w:r>
        <w:t xml:space="preserve"> </w:t>
      </w:r>
      <w:r w:rsidRPr="00316889">
        <w:t>“Artículo 39. Derecho a ser elector y elegible en las elecciones al Parlamento Europeo</w:t>
      </w:r>
    </w:p>
    <w:p w:rsidR="00626F66" w:rsidRPr="00316889" w:rsidRDefault="00626F66" w:rsidP="00892038">
      <w:pPr>
        <w:pStyle w:val="Textonotapie"/>
      </w:pPr>
      <w:r w:rsidRPr="00316889">
        <w:t>1. Todo ciudadano de la Unión tiene derecho a ser elector y elegible en las elecciones al Parlamento Europeo en el Estado miembro en que resida, en las mismas condiciones que los nacionales de dicho Estado.</w:t>
      </w:r>
    </w:p>
    <w:p w:rsidR="00626F66" w:rsidRPr="00316889" w:rsidRDefault="00626F66" w:rsidP="00892038">
      <w:pPr>
        <w:pStyle w:val="Textonotapie"/>
      </w:pPr>
      <w:r w:rsidRPr="00316889">
        <w:t xml:space="preserve">2. Los diputados del Parlamento Europeo serán elegidos por </w:t>
      </w:r>
      <w:r w:rsidRPr="00C33177">
        <w:rPr>
          <w:i/>
        </w:rPr>
        <w:t>sufragio universal,</w:t>
      </w:r>
      <w:r w:rsidRPr="00316889">
        <w:t xml:space="preserve"> libre, directo y secreto.</w:t>
      </w:r>
    </w:p>
    <w:p w:rsidR="00626F66" w:rsidRPr="00316889" w:rsidRDefault="00626F66" w:rsidP="00892038">
      <w:pPr>
        <w:pStyle w:val="Textonotapie"/>
      </w:pPr>
      <w:r w:rsidRPr="00316889">
        <w:t>Artículo 40. Derecho a ser elector y elegible en las elecciones municipales</w:t>
      </w:r>
    </w:p>
    <w:p w:rsidR="00626F66" w:rsidRPr="00316889" w:rsidRDefault="00626F66">
      <w:pPr>
        <w:pStyle w:val="Textonotapie"/>
      </w:pPr>
      <w:r w:rsidRPr="00316889">
        <w:t>Todo ciudadano de la Unión tiene derecho a ser elector y elegible en las elecciones municipales del Estado miembro en que resida, en las mismas condiciones que los nacionales de dicho Estado.”</w:t>
      </w:r>
    </w:p>
  </w:footnote>
  <w:footnote w:id="12">
    <w:p w:rsidR="00626F66" w:rsidRPr="00E16AE8" w:rsidRDefault="00626F66" w:rsidP="00E16AE8">
      <w:pPr>
        <w:pStyle w:val="Textonotapie"/>
        <w:jc w:val="both"/>
      </w:pPr>
      <w:r w:rsidRPr="00316889">
        <w:rPr>
          <w:rStyle w:val="Refdenotaalpie"/>
        </w:rPr>
        <w:footnoteRef/>
      </w:r>
      <w:r w:rsidRPr="00316889">
        <w:t xml:space="preserve"> “1. Todos los ciudadanos deben gozar de los siguientes derechos y op</w:t>
      </w:r>
      <w:r w:rsidRPr="00E16AE8">
        <w:t xml:space="preserve">ortunidades: </w:t>
      </w:r>
    </w:p>
    <w:p w:rsidR="00626F66" w:rsidRPr="00E16AE8" w:rsidRDefault="00626F66" w:rsidP="00E16AE8">
      <w:pPr>
        <w:pStyle w:val="Textonotapie"/>
        <w:jc w:val="both"/>
      </w:pPr>
      <w:r w:rsidRPr="00E16AE8">
        <w:t xml:space="preserve"> a) de participar en la dirección de los asuntos públicos, directamente o por medio de representantes libremente elegidos; </w:t>
      </w:r>
    </w:p>
    <w:p w:rsidR="00626F66" w:rsidRPr="00E16AE8" w:rsidRDefault="00626F66" w:rsidP="00E16AE8">
      <w:pPr>
        <w:pStyle w:val="Textonotapie"/>
        <w:jc w:val="both"/>
      </w:pPr>
      <w:r w:rsidRPr="00E16AE8">
        <w:t xml:space="preserve"> b) de votar y ser elegidos en elecciones periódicas auténticas, realizadas por </w:t>
      </w:r>
      <w:r w:rsidRPr="00253C38">
        <w:rPr>
          <w:i/>
        </w:rPr>
        <w:t>sufragio universal</w:t>
      </w:r>
      <w:r w:rsidRPr="00E16AE8">
        <w:t xml:space="preserve"> e igual y por voto secreto que garantice la libre expresión de la voluntad de los electores, y </w:t>
      </w:r>
    </w:p>
    <w:p w:rsidR="00626F66" w:rsidRPr="00E16AE8" w:rsidRDefault="00626F66" w:rsidP="00E16AE8">
      <w:pPr>
        <w:pStyle w:val="Textonotapie"/>
        <w:jc w:val="both"/>
      </w:pPr>
      <w:r w:rsidRPr="00E16AE8">
        <w:t xml:space="preserve"> c) de tener acceso, en condiciones generales de igualdad, a las funciones públicas de su país. </w:t>
      </w:r>
    </w:p>
    <w:p w:rsidR="00626F66" w:rsidRPr="00E16AE8" w:rsidRDefault="00626F66" w:rsidP="00E16AE8">
      <w:pPr>
        <w:pStyle w:val="Textonotapie"/>
        <w:jc w:val="both"/>
      </w:pPr>
      <w:r w:rsidRPr="00E16AE8">
        <w:t> 2. La ley puede reglamentar el ejercicio de los derechos y oportunidades a que se refiere el inciso anterior, exclusivamente por razones de edad, nacionalidad, residencia, idioma, instrucción, capacidad civil o mental, o condena, por juez competente, en proceso penal.”</w:t>
      </w:r>
    </w:p>
  </w:footnote>
  <w:footnote w:id="13">
    <w:p w:rsidR="00626F66" w:rsidRPr="00600C90" w:rsidRDefault="00626F66" w:rsidP="000C533F">
      <w:pPr>
        <w:pStyle w:val="Textonotapie"/>
      </w:pPr>
      <w:r>
        <w:rPr>
          <w:rStyle w:val="Refdenotaalpie"/>
        </w:rPr>
        <w:footnoteRef/>
      </w:r>
      <w:r w:rsidRPr="00600C90">
        <w:t xml:space="preserve"> http://web.archive.org/web/20120427074055/http://www.achpr.org/english/_info/charter_en.html</w:t>
      </w:r>
    </w:p>
  </w:footnote>
  <w:footnote w:id="14">
    <w:p w:rsidR="00626F66" w:rsidRDefault="00626F66" w:rsidP="007D736D">
      <w:pPr>
        <w:pStyle w:val="Textonotapie"/>
        <w:jc w:val="both"/>
      </w:pPr>
      <w:r>
        <w:rPr>
          <w:rStyle w:val="Refdenotaalpie"/>
        </w:rPr>
        <w:footnoteRef/>
      </w:r>
      <w:r>
        <w:t xml:space="preserve"> </w:t>
      </w:r>
      <w:r w:rsidRPr="007D736D">
        <w:t>Su artículo 15 dispone:</w:t>
      </w:r>
      <w:r>
        <w:t xml:space="preserve"> “</w:t>
      </w:r>
      <w:r w:rsidRPr="007D736D">
        <w:rPr>
          <w:i/>
        </w:rPr>
        <w:t>Todos los ciudadanos tienen derecho y deben tener la oportunidad, sin restricciones indebidas, a participar en la gestión de los asuntos públicos directa o indirectamente mediante representantes libremente elegidos, para votar y ser elegidos para el gobierno.”</w:t>
      </w:r>
    </w:p>
  </w:footnote>
  <w:footnote w:id="15">
    <w:p w:rsidR="00626F66" w:rsidRDefault="00626F66" w:rsidP="00070BEE">
      <w:pPr>
        <w:pStyle w:val="Textonotapie"/>
        <w:jc w:val="both"/>
      </w:pPr>
      <w:r w:rsidRPr="00D30699">
        <w:rPr>
          <w:rStyle w:val="Refdenotaalpie"/>
        </w:rPr>
        <w:footnoteRef/>
      </w:r>
      <w:r w:rsidRPr="00D30699">
        <w:t xml:space="preserve"> “Todos los hombres son ig</w:t>
      </w:r>
      <w:r w:rsidRPr="00E16AE8">
        <w:t>uales en términos de dignidad humana básica y las obligaciones y responsabilidades básicas, sin discriminación alguna por motivos de raza, color, idioma, creencias, consideraciones de sexo, religión, afiliación política, condición social o de otra índole”.</w:t>
      </w:r>
    </w:p>
  </w:footnote>
  <w:footnote w:id="16">
    <w:p w:rsidR="00626F66" w:rsidRPr="0056013F" w:rsidRDefault="00626F66" w:rsidP="00EB2D27">
      <w:pPr>
        <w:pStyle w:val="Textonotapie"/>
        <w:jc w:val="both"/>
      </w:pPr>
      <w:r>
        <w:rPr>
          <w:rStyle w:val="Refdenotaalpie"/>
        </w:rPr>
        <w:footnoteRef/>
      </w:r>
      <w:r>
        <w:t xml:space="preserve"> Vid. sentencia TEDH </w:t>
      </w:r>
      <w:proofErr w:type="spellStart"/>
      <w:r>
        <w:rPr>
          <w:i/>
        </w:rPr>
        <w:t>Mathieu-Mohin</w:t>
      </w:r>
      <w:proofErr w:type="spellEnd"/>
      <w:r>
        <w:rPr>
          <w:i/>
        </w:rPr>
        <w:t xml:space="preserve"> et </w:t>
      </w:r>
      <w:proofErr w:type="spellStart"/>
      <w:r>
        <w:rPr>
          <w:i/>
        </w:rPr>
        <w:t>Clerfayt</w:t>
      </w:r>
      <w:proofErr w:type="spellEnd"/>
      <w:r>
        <w:rPr>
          <w:i/>
        </w:rPr>
        <w:t xml:space="preserve"> c. Bélgica, </w:t>
      </w:r>
      <w:r>
        <w:t xml:space="preserve">Asunto 9/1985, de 28 de enero de 1987, TEDH, pár. 52, que confirma que no se trata de un derecho absoluto: </w:t>
      </w:r>
      <w:r>
        <w:rPr>
          <w:i/>
        </w:rPr>
        <w:t xml:space="preserve">“Gozan los Estados en esta materia de un amplio margen de apreciación; pero corresponde al Tribunal resolver, en última instancia, sobre el cumplimiento de las exigencias del Protocolo núm. I”. </w:t>
      </w:r>
    </w:p>
  </w:footnote>
  <w:footnote w:id="17">
    <w:p w:rsidR="00626F66" w:rsidRPr="0056013F" w:rsidRDefault="00626F66" w:rsidP="000C533F">
      <w:pPr>
        <w:pStyle w:val="Textonotapie"/>
        <w:jc w:val="both"/>
        <w:rPr>
          <w:i/>
        </w:rPr>
      </w:pPr>
      <w:r>
        <w:rPr>
          <w:rStyle w:val="Refdenotaalpie"/>
        </w:rPr>
        <w:footnoteRef/>
      </w:r>
      <w:r>
        <w:t xml:space="preserve"> La Doctrina del “</w:t>
      </w:r>
      <w:proofErr w:type="spellStart"/>
      <w:r>
        <w:t>Margin</w:t>
      </w:r>
      <w:proofErr w:type="spellEnd"/>
      <w:r>
        <w:t xml:space="preserve"> of </w:t>
      </w:r>
      <w:proofErr w:type="spellStart"/>
      <w:r>
        <w:t>appreciation</w:t>
      </w:r>
      <w:proofErr w:type="spellEnd"/>
      <w:r>
        <w:t>” del TEDH consiste en otorgar un e</w:t>
      </w:r>
      <w:r w:rsidRPr="007B0F25">
        <w:t xml:space="preserve">spacio de discrecionalidad </w:t>
      </w:r>
      <w:r>
        <w:t xml:space="preserve">a </w:t>
      </w:r>
      <w:r w:rsidRPr="007B0F25">
        <w:t>los Estados Partes para fijar el contenido y alcance de los</w:t>
      </w:r>
      <w:r>
        <w:t xml:space="preserve"> </w:t>
      </w:r>
      <w:r w:rsidRPr="007B0F25">
        <w:t>derechos del Convenio Eu</w:t>
      </w:r>
      <w:r>
        <w:t xml:space="preserve">ropeo para la Protección de los </w:t>
      </w:r>
      <w:r w:rsidRPr="007B0F25">
        <w:t xml:space="preserve">Derechos Humanos, </w:t>
      </w:r>
      <w:r>
        <w:t xml:space="preserve"> tomando en </w:t>
      </w:r>
      <w:r w:rsidRPr="007B0F25">
        <w:t>consideración determinadas circunstancias jurídicas, sociales y culturales</w:t>
      </w:r>
      <w:r>
        <w:t xml:space="preserve">. Esta doctrina jurisprudencial se ha ido creando por el Tribunal en numerosas sentencias, inter </w:t>
      </w:r>
      <w:proofErr w:type="spellStart"/>
      <w:r>
        <w:t>alia</w:t>
      </w:r>
      <w:proofErr w:type="spellEnd"/>
      <w:r>
        <w:t xml:space="preserve">, </w:t>
      </w:r>
      <w:r>
        <w:rPr>
          <w:i/>
        </w:rPr>
        <w:t xml:space="preserve">Caso </w:t>
      </w:r>
      <w:proofErr w:type="spellStart"/>
      <w:r>
        <w:rPr>
          <w:i/>
        </w:rPr>
        <w:t>Matthews</w:t>
      </w:r>
      <w:proofErr w:type="spellEnd"/>
      <w:r>
        <w:rPr>
          <w:i/>
        </w:rPr>
        <w:t xml:space="preserve"> c. Reino Unido, </w:t>
      </w:r>
      <w:proofErr w:type="spellStart"/>
      <w:r>
        <w:rPr>
          <w:i/>
        </w:rPr>
        <w:t>Labita</w:t>
      </w:r>
      <w:proofErr w:type="spellEnd"/>
      <w:r>
        <w:rPr>
          <w:i/>
        </w:rPr>
        <w:t xml:space="preserve"> c. Italia, </w:t>
      </w:r>
      <w:proofErr w:type="spellStart"/>
      <w:r>
        <w:rPr>
          <w:i/>
        </w:rPr>
        <w:t>Aziz</w:t>
      </w:r>
      <w:proofErr w:type="spellEnd"/>
      <w:r>
        <w:rPr>
          <w:i/>
        </w:rPr>
        <w:t xml:space="preserve"> c. Chipre, </w:t>
      </w:r>
      <w:proofErr w:type="spellStart"/>
      <w:r>
        <w:rPr>
          <w:i/>
        </w:rPr>
        <w:t>Melnychenko</w:t>
      </w:r>
      <w:proofErr w:type="spellEnd"/>
      <w:r>
        <w:rPr>
          <w:i/>
        </w:rPr>
        <w:t xml:space="preserve"> c. Ucrania; </w:t>
      </w:r>
      <w:r>
        <w:t>también</w:t>
      </w:r>
      <w:r>
        <w:rPr>
          <w:i/>
        </w:rPr>
        <w:t xml:space="preserve"> </w:t>
      </w:r>
      <w:r w:rsidRPr="00AD49F4">
        <w:rPr>
          <w:i/>
        </w:rPr>
        <w:t>C-300/04</w:t>
      </w:r>
      <w:r>
        <w:rPr>
          <w:i/>
        </w:rPr>
        <w:t xml:space="preserve"> </w:t>
      </w:r>
      <w:r w:rsidRPr="00AD49F4">
        <w:rPr>
          <w:i/>
          <w:iCs/>
          <w:lang w:val="nl-NL"/>
        </w:rPr>
        <w:t>Eman y O.B. Sevinger / College van burgemeester en wethouders van Den Haag</w:t>
      </w:r>
      <w:r>
        <w:rPr>
          <w:i/>
          <w:iCs/>
          <w:lang w:val="nl-NL"/>
        </w:rPr>
        <w:t xml:space="preserve"> </w:t>
      </w:r>
      <w:r>
        <w:rPr>
          <w:i/>
        </w:rPr>
        <w:t>etc.</w:t>
      </w:r>
    </w:p>
  </w:footnote>
  <w:footnote w:id="18">
    <w:p w:rsidR="00626F66" w:rsidRDefault="00626F66" w:rsidP="008D1069">
      <w:pPr>
        <w:pStyle w:val="Textonotapie"/>
        <w:jc w:val="both"/>
      </w:pPr>
      <w:r>
        <w:rPr>
          <w:rStyle w:val="Refdenotaalpie"/>
        </w:rPr>
        <w:footnoteRef/>
      </w:r>
      <w:r>
        <w:t xml:space="preserve"> Vid. </w:t>
      </w:r>
      <w:r w:rsidRPr="00224E7D">
        <w:rPr>
          <w:i/>
        </w:rPr>
        <w:t xml:space="preserve">Sentencia STEDH de 30 de marzo de 2004 (asunto </w:t>
      </w:r>
      <w:proofErr w:type="spellStart"/>
      <w:r w:rsidRPr="00224E7D">
        <w:rPr>
          <w:i/>
        </w:rPr>
        <w:t>Hirst</w:t>
      </w:r>
      <w:proofErr w:type="spellEnd"/>
      <w:r w:rsidRPr="00224E7D">
        <w:rPr>
          <w:i/>
        </w:rPr>
        <w:t xml:space="preserve"> núm. 2 contra Reino Unido) y de 6 de octubre de 2005 (Gran Sala, Asunto </w:t>
      </w:r>
      <w:proofErr w:type="spellStart"/>
      <w:r w:rsidRPr="00224E7D">
        <w:rPr>
          <w:i/>
        </w:rPr>
        <w:t>Hirst</w:t>
      </w:r>
      <w:proofErr w:type="spellEnd"/>
      <w:r w:rsidRPr="00224E7D">
        <w:rPr>
          <w:i/>
        </w:rPr>
        <w:t xml:space="preserve"> contra Reino Unido)</w:t>
      </w:r>
      <w:r>
        <w:t xml:space="preserve">. </w:t>
      </w:r>
    </w:p>
  </w:footnote>
  <w:footnote w:id="19">
    <w:p w:rsidR="00626F66" w:rsidRDefault="00626F66" w:rsidP="00C217CC">
      <w:pPr>
        <w:pStyle w:val="Textonotapie"/>
        <w:jc w:val="both"/>
      </w:pPr>
      <w:r>
        <w:rPr>
          <w:rStyle w:val="Refdenotaalpie"/>
        </w:rPr>
        <w:footnoteRef/>
      </w:r>
      <w:r>
        <w:t xml:space="preserve"> Vid. </w:t>
      </w:r>
      <w:r w:rsidRPr="001B5514">
        <w:rPr>
          <w:i/>
        </w:rPr>
        <w:t xml:space="preserve">inter </w:t>
      </w:r>
      <w:proofErr w:type="spellStart"/>
      <w:r w:rsidRPr="001B5514">
        <w:rPr>
          <w:i/>
        </w:rPr>
        <w:t>alia</w:t>
      </w:r>
      <w:proofErr w:type="spellEnd"/>
      <w:r>
        <w:t xml:space="preserve"> </w:t>
      </w:r>
      <w:r w:rsidRPr="0056013F">
        <w:rPr>
          <w:i/>
        </w:rPr>
        <w:t>DDCEDH de 11 de diciembre de 1976 (asunto X contra Reino Unido), demanda nº 7566/76</w:t>
      </w:r>
      <w:r>
        <w:t xml:space="preserve"> y </w:t>
      </w:r>
      <w:r w:rsidRPr="0056013F">
        <w:rPr>
          <w:i/>
        </w:rPr>
        <w:t xml:space="preserve">de 21 de mayo de 1997 (asunto </w:t>
      </w:r>
      <w:proofErr w:type="spellStart"/>
      <w:r w:rsidRPr="0056013F">
        <w:rPr>
          <w:i/>
        </w:rPr>
        <w:t>Luksch</w:t>
      </w:r>
      <w:proofErr w:type="spellEnd"/>
      <w:r w:rsidRPr="0056013F">
        <w:rPr>
          <w:i/>
        </w:rPr>
        <w:t xml:space="preserve"> contra Italia), demanda nº 27614/95</w:t>
      </w:r>
      <w:r>
        <w:t>.</w:t>
      </w:r>
    </w:p>
  </w:footnote>
  <w:footnote w:id="20">
    <w:p w:rsidR="00626F66" w:rsidRDefault="00626F66">
      <w:pPr>
        <w:pStyle w:val="Textonotapie"/>
      </w:pPr>
      <w:r>
        <w:rPr>
          <w:rStyle w:val="Refdenotaalpie"/>
        </w:rPr>
        <w:footnoteRef/>
      </w:r>
      <w:r>
        <w:t xml:space="preserve"> Sentencia STEDH de 30 de marzo de 2004 (asunto </w:t>
      </w:r>
      <w:proofErr w:type="spellStart"/>
      <w:r>
        <w:t>Hirst</w:t>
      </w:r>
      <w:proofErr w:type="spellEnd"/>
      <w:r>
        <w:t xml:space="preserve"> núm. 2 contra Reino Unido) y de 6 de octubre de 2005 (Gran Sala, Asunto </w:t>
      </w:r>
      <w:proofErr w:type="spellStart"/>
      <w:r>
        <w:t>Hirst</w:t>
      </w:r>
      <w:proofErr w:type="spellEnd"/>
      <w:r>
        <w:t xml:space="preserve"> contra Reino Unido).</w:t>
      </w:r>
    </w:p>
  </w:footnote>
  <w:footnote w:id="21">
    <w:p w:rsidR="00626F66" w:rsidRDefault="00626F66" w:rsidP="000C533F">
      <w:pPr>
        <w:pStyle w:val="Textonotapie"/>
      </w:pPr>
      <w:r>
        <w:rPr>
          <w:rStyle w:val="Refdenotaalpie"/>
        </w:rPr>
        <w:footnoteRef/>
      </w:r>
      <w:r>
        <w:t xml:space="preserve"> SSTEDH de 20 de mayo de 2010 (Asunto </w:t>
      </w:r>
      <w:proofErr w:type="spellStart"/>
      <w:r>
        <w:t>Alajos</w:t>
      </w:r>
      <w:proofErr w:type="spellEnd"/>
      <w:r>
        <w:t xml:space="preserve"> Kiss contra Hungría).</w:t>
      </w:r>
    </w:p>
  </w:footnote>
  <w:footnote w:id="22">
    <w:p w:rsidR="00626F66" w:rsidRDefault="00626F66" w:rsidP="000C533F">
      <w:pPr>
        <w:pStyle w:val="Textonotapie"/>
      </w:pPr>
      <w:r>
        <w:rPr>
          <w:rStyle w:val="Refdenotaalpie"/>
        </w:rPr>
        <w:footnoteRef/>
      </w:r>
      <w:r>
        <w:t xml:space="preserve"> Ibídem.</w:t>
      </w:r>
    </w:p>
  </w:footnote>
  <w:footnote w:id="23">
    <w:p w:rsidR="00626F66" w:rsidRPr="00280075" w:rsidRDefault="00626F66" w:rsidP="000C533F">
      <w:pPr>
        <w:pStyle w:val="Textonotapie"/>
      </w:pPr>
      <w:r>
        <w:rPr>
          <w:rStyle w:val="Refdenotaalpie"/>
        </w:rPr>
        <w:footnoteRef/>
      </w:r>
      <w:r>
        <w:t xml:space="preserve"> Sentencia del </w:t>
      </w:r>
      <w:r w:rsidRPr="00280075">
        <w:t xml:space="preserve">TEDH </w:t>
      </w:r>
      <w:r w:rsidRPr="00280075">
        <w:rPr>
          <w:bCs/>
          <w:i/>
        </w:rPr>
        <w:t>Caso GAJCSI v. HUNGARY</w:t>
      </w:r>
      <w:r w:rsidRPr="00280075">
        <w:rPr>
          <w:bCs/>
        </w:rPr>
        <w:t xml:space="preserve"> </w:t>
      </w:r>
      <w:r w:rsidRPr="00280075">
        <w:rPr>
          <w:i/>
          <w:iCs/>
        </w:rPr>
        <w:t xml:space="preserve">(no. 62924/10), </w:t>
      </w:r>
      <w:r w:rsidRPr="00280075">
        <w:rPr>
          <w:iCs/>
        </w:rPr>
        <w:t>de</w:t>
      </w:r>
      <w:r w:rsidRPr="00280075">
        <w:rPr>
          <w:i/>
          <w:iCs/>
        </w:rPr>
        <w:t xml:space="preserve"> </w:t>
      </w:r>
      <w:r w:rsidRPr="00280075">
        <w:t>23 de Septiembre de 2014.</w:t>
      </w:r>
    </w:p>
  </w:footnote>
  <w:footnote w:id="24">
    <w:p w:rsidR="00626F66" w:rsidRDefault="00626F66" w:rsidP="000C533F">
      <w:pPr>
        <w:pStyle w:val="Textonotapie"/>
      </w:pPr>
      <w:r w:rsidRPr="00280075">
        <w:rPr>
          <w:rStyle w:val="Refdenotaalpie"/>
        </w:rPr>
        <w:footnoteRef/>
      </w:r>
      <w:r w:rsidRPr="00280075">
        <w:t xml:space="preserve"> Sentencia del TEDH </w:t>
      </w:r>
      <w:r w:rsidRPr="00280075">
        <w:rPr>
          <w:bCs/>
          <w:i/>
        </w:rPr>
        <w:t>Caso HARMATI v. HUNGARY</w:t>
      </w:r>
      <w:r w:rsidRPr="006F4280">
        <w:rPr>
          <w:b/>
          <w:bCs/>
        </w:rPr>
        <w:t xml:space="preserve"> </w:t>
      </w:r>
      <w:r w:rsidRPr="006F4280">
        <w:rPr>
          <w:i/>
          <w:iCs/>
        </w:rPr>
        <w:t>(no. 6</w:t>
      </w:r>
      <w:r>
        <w:rPr>
          <w:i/>
          <w:iCs/>
        </w:rPr>
        <w:t>3012</w:t>
      </w:r>
      <w:r w:rsidRPr="006F4280">
        <w:rPr>
          <w:i/>
          <w:iCs/>
        </w:rPr>
        <w:t>/10</w:t>
      </w:r>
      <w:r>
        <w:rPr>
          <w:i/>
          <w:iCs/>
        </w:rPr>
        <w:t xml:space="preserve">), </w:t>
      </w:r>
      <w:r w:rsidRPr="006F4280">
        <w:rPr>
          <w:iCs/>
        </w:rPr>
        <w:t>de</w:t>
      </w:r>
      <w:r>
        <w:rPr>
          <w:i/>
          <w:iCs/>
        </w:rPr>
        <w:t xml:space="preserve"> </w:t>
      </w:r>
      <w:r w:rsidRPr="006F4280">
        <w:t>2</w:t>
      </w:r>
      <w:r>
        <w:t>1</w:t>
      </w:r>
      <w:r w:rsidRPr="006F4280">
        <w:t xml:space="preserve"> </w:t>
      </w:r>
      <w:r>
        <w:t>de Octubre de 2014.</w:t>
      </w:r>
    </w:p>
  </w:footnote>
  <w:footnote w:id="25">
    <w:p w:rsidR="00626F66" w:rsidRPr="00BD6D20" w:rsidRDefault="00626F66">
      <w:pPr>
        <w:pStyle w:val="Textonotapie"/>
        <w:rPr>
          <w:i/>
        </w:rPr>
      </w:pPr>
      <w:r>
        <w:rPr>
          <w:rStyle w:val="Refdenotaalpie"/>
        </w:rPr>
        <w:footnoteRef/>
      </w:r>
      <w:r>
        <w:t xml:space="preserve"> Vid. </w:t>
      </w:r>
      <w:proofErr w:type="spellStart"/>
      <w:r>
        <w:rPr>
          <w:i/>
        </w:rPr>
        <w:t>Hirst</w:t>
      </w:r>
      <w:proofErr w:type="spellEnd"/>
      <w:r>
        <w:rPr>
          <w:i/>
        </w:rPr>
        <w:t xml:space="preserve"> c. Reino Unido.</w:t>
      </w:r>
    </w:p>
  </w:footnote>
  <w:footnote w:id="26">
    <w:p w:rsidR="00626F66" w:rsidRPr="00BD6D20" w:rsidRDefault="00626F66">
      <w:pPr>
        <w:pStyle w:val="Textonotapie"/>
        <w:rPr>
          <w:i/>
        </w:rPr>
      </w:pPr>
      <w:r>
        <w:rPr>
          <w:rStyle w:val="Refdenotaalpie"/>
        </w:rPr>
        <w:footnoteRef/>
      </w:r>
      <w:r>
        <w:t xml:space="preserve"> </w:t>
      </w:r>
      <w:r w:rsidRPr="00BD6D20">
        <w:rPr>
          <w:i/>
        </w:rPr>
        <w:t xml:space="preserve">Sentencia TEDH </w:t>
      </w:r>
      <w:proofErr w:type="spellStart"/>
      <w:r w:rsidRPr="00BD6D20">
        <w:rPr>
          <w:i/>
        </w:rPr>
        <w:t>Py</w:t>
      </w:r>
      <w:proofErr w:type="spellEnd"/>
      <w:r w:rsidRPr="00BD6D20">
        <w:rPr>
          <w:i/>
        </w:rPr>
        <w:t xml:space="preserve"> c. Francia.</w:t>
      </w:r>
    </w:p>
  </w:footnote>
  <w:footnote w:id="27">
    <w:p w:rsidR="00626F66" w:rsidRDefault="00626F66">
      <w:pPr>
        <w:pStyle w:val="Textonotapie"/>
      </w:pPr>
      <w:r>
        <w:rPr>
          <w:rStyle w:val="Refdenotaalpie"/>
        </w:rPr>
        <w:footnoteRef/>
      </w:r>
      <w:r>
        <w:t xml:space="preserve"> </w:t>
      </w:r>
      <w:r w:rsidRPr="00BD6D20">
        <w:rPr>
          <w:i/>
        </w:rPr>
        <w:t xml:space="preserve">Sentencia TEDH </w:t>
      </w:r>
      <w:proofErr w:type="spellStart"/>
      <w:r w:rsidRPr="00BD6D20">
        <w:rPr>
          <w:i/>
        </w:rPr>
        <w:t>Kavakçí</w:t>
      </w:r>
      <w:proofErr w:type="spellEnd"/>
      <w:r w:rsidRPr="00BD6D20">
        <w:rPr>
          <w:i/>
        </w:rPr>
        <w:t xml:space="preserve"> c. Turquía.</w:t>
      </w:r>
    </w:p>
  </w:footnote>
  <w:footnote w:id="28">
    <w:p w:rsidR="00626F66" w:rsidRPr="00BD6D20" w:rsidRDefault="00626F66" w:rsidP="00B655E0">
      <w:pPr>
        <w:pStyle w:val="Textonotapie"/>
        <w:rPr>
          <w:i/>
        </w:rPr>
      </w:pPr>
      <w:r>
        <w:rPr>
          <w:rStyle w:val="Refdenotaalpie"/>
          <w:rFonts w:eastAsia="Calibri"/>
        </w:rPr>
        <w:footnoteRef/>
      </w:r>
      <w:r>
        <w:t xml:space="preserve"> </w:t>
      </w:r>
      <w:r w:rsidRPr="00BD6D20">
        <w:rPr>
          <w:i/>
        </w:rPr>
        <w:t xml:space="preserve">Caso </w:t>
      </w:r>
      <w:proofErr w:type="spellStart"/>
      <w:r w:rsidRPr="00BD6D20">
        <w:rPr>
          <w:i/>
        </w:rPr>
        <w:t>Yatama</w:t>
      </w:r>
      <w:proofErr w:type="spellEnd"/>
      <w:r w:rsidRPr="00BD6D20">
        <w:rPr>
          <w:i/>
        </w:rPr>
        <w:t>. Sentencia CIDH de 23 de junio de 2005. Serie C No. 127.</w:t>
      </w:r>
    </w:p>
  </w:footnote>
  <w:footnote w:id="29">
    <w:p w:rsidR="00626F66" w:rsidRDefault="00626F66" w:rsidP="00B655E0">
      <w:pPr>
        <w:pStyle w:val="Textonotapie"/>
        <w:jc w:val="both"/>
      </w:pPr>
      <w:r>
        <w:rPr>
          <w:rStyle w:val="Refdenotaalpie"/>
        </w:rPr>
        <w:footnoteRef/>
      </w:r>
      <w:r>
        <w:t xml:space="preserve"> </w:t>
      </w:r>
      <w:r w:rsidRPr="008C4600">
        <w:t xml:space="preserve">Caso </w:t>
      </w:r>
      <w:proofErr w:type="spellStart"/>
      <w:r w:rsidRPr="008C4600">
        <w:t>Escué</w:t>
      </w:r>
      <w:proofErr w:type="spellEnd"/>
      <w:r w:rsidRPr="008C4600">
        <w:t xml:space="preserve"> Zapata Vs. Colombia</w:t>
      </w:r>
      <w:r>
        <w:t xml:space="preserve">. Sentencia CIDH de 4 de julio de 2007. </w:t>
      </w:r>
      <w:r w:rsidRPr="008C4600">
        <w:t>(Fondo, Reparaciones y Co</w:t>
      </w:r>
      <w:r>
        <w:t>stas), C</w:t>
      </w:r>
      <w:r w:rsidRPr="008C4600">
        <w:t xml:space="preserve">aso del </w:t>
      </w:r>
      <w:r>
        <w:t>P</w:t>
      </w:r>
      <w:r w:rsidRPr="008C4600">
        <w:t>ueblo</w:t>
      </w:r>
      <w:r>
        <w:t xml:space="preserve"> </w:t>
      </w:r>
      <w:proofErr w:type="spellStart"/>
      <w:r>
        <w:t>S</w:t>
      </w:r>
      <w:r w:rsidRPr="008C4600">
        <w:t>aramaka</w:t>
      </w:r>
      <w:proofErr w:type="spellEnd"/>
      <w:r w:rsidRPr="008C4600">
        <w:t xml:space="preserve"> vs.</w:t>
      </w:r>
      <w:r>
        <w:t xml:space="preserve"> Surina</w:t>
      </w:r>
      <w:r w:rsidRPr="008C4600">
        <w:t>m</w:t>
      </w:r>
      <w:r>
        <w:t>. S</w:t>
      </w:r>
      <w:r w:rsidRPr="008C4600">
        <w:t xml:space="preserve">entencia </w:t>
      </w:r>
      <w:r>
        <w:t xml:space="preserve">CIDH </w:t>
      </w:r>
      <w:r w:rsidRPr="008C4600">
        <w:t>de 12</w:t>
      </w:r>
      <w:r>
        <w:t xml:space="preserve"> </w:t>
      </w:r>
      <w:r w:rsidRPr="008C4600">
        <w:t>de agosto de 2008 (interpretación de la</w:t>
      </w:r>
      <w:r>
        <w:t xml:space="preserve"> </w:t>
      </w:r>
      <w:r w:rsidRPr="008C4600">
        <w:t xml:space="preserve">sentencia de </w:t>
      </w:r>
      <w:proofErr w:type="spellStart"/>
      <w:r w:rsidRPr="008C4600">
        <w:t>excepciones</w:t>
      </w:r>
      <w:proofErr w:type="gramStart"/>
      <w:r w:rsidRPr="008C4600">
        <w:t>,fondo,reparaciones</w:t>
      </w:r>
      <w:proofErr w:type="spellEnd"/>
      <w:proofErr w:type="gramEnd"/>
      <w:r w:rsidRPr="008C4600">
        <w:t xml:space="preserve"> y costas)</w:t>
      </w:r>
      <w:r>
        <w:t>, C</w:t>
      </w:r>
      <w:r w:rsidRPr="00383172">
        <w:t xml:space="preserve">aso </w:t>
      </w:r>
      <w:proofErr w:type="spellStart"/>
      <w:r>
        <w:t>C</w:t>
      </w:r>
      <w:r w:rsidRPr="00383172">
        <w:t>hitay</w:t>
      </w:r>
      <w:proofErr w:type="spellEnd"/>
      <w:r w:rsidRPr="00383172">
        <w:t xml:space="preserve"> </w:t>
      </w:r>
      <w:proofErr w:type="spellStart"/>
      <w:r>
        <w:t>N</w:t>
      </w:r>
      <w:r w:rsidRPr="00383172">
        <w:t>ech</w:t>
      </w:r>
      <w:proofErr w:type="spellEnd"/>
      <w:r w:rsidRPr="00383172">
        <w:t xml:space="preserve"> y otros vs. </w:t>
      </w:r>
      <w:r>
        <w:t>G</w:t>
      </w:r>
      <w:r w:rsidRPr="00383172">
        <w:t>uatemala</w:t>
      </w:r>
      <w:r>
        <w:t>.</w:t>
      </w:r>
      <w:r w:rsidRPr="00383172">
        <w:t xml:space="preserve"> </w:t>
      </w:r>
      <w:r>
        <w:t>S</w:t>
      </w:r>
      <w:r w:rsidRPr="00383172">
        <w:t xml:space="preserve">entencia </w:t>
      </w:r>
      <w:r>
        <w:t xml:space="preserve">CIDH </w:t>
      </w:r>
      <w:r w:rsidRPr="00383172">
        <w:t>de 25 de mayo de 2010</w:t>
      </w:r>
      <w:r>
        <w:t>.</w:t>
      </w:r>
      <w:r w:rsidRPr="00383172">
        <w:t xml:space="preserve"> (Excepciones Preliminares, Fondo, Reparaciones y Costas)</w:t>
      </w:r>
      <w:r>
        <w:t xml:space="preserve">, </w:t>
      </w:r>
      <w:r w:rsidRPr="001428D8">
        <w:rPr>
          <w:bCs/>
        </w:rPr>
        <w:t xml:space="preserve">Caso Pueblo Indígena </w:t>
      </w:r>
      <w:proofErr w:type="spellStart"/>
      <w:r w:rsidRPr="001428D8">
        <w:rPr>
          <w:bCs/>
        </w:rPr>
        <w:t>Kichwa</w:t>
      </w:r>
      <w:proofErr w:type="spellEnd"/>
      <w:r w:rsidRPr="001428D8">
        <w:rPr>
          <w:bCs/>
        </w:rPr>
        <w:t xml:space="preserve"> de </w:t>
      </w:r>
      <w:proofErr w:type="spellStart"/>
      <w:r w:rsidRPr="001428D8">
        <w:rPr>
          <w:bCs/>
        </w:rPr>
        <w:t>Sarayaku</w:t>
      </w:r>
      <w:proofErr w:type="spellEnd"/>
      <w:r w:rsidRPr="001428D8">
        <w:rPr>
          <w:bCs/>
        </w:rPr>
        <w:t xml:space="preserve"> Vs. Ecuador. Fondo y reparaciones. Sentencia </w:t>
      </w:r>
      <w:r>
        <w:rPr>
          <w:bCs/>
        </w:rPr>
        <w:t xml:space="preserve">CIDH </w:t>
      </w:r>
      <w:r w:rsidRPr="001428D8">
        <w:rPr>
          <w:bCs/>
        </w:rPr>
        <w:t>de 27 de junio de 2012. Serie C No. 245.</w:t>
      </w:r>
    </w:p>
  </w:footnote>
  <w:footnote w:id="30">
    <w:p w:rsidR="00626F66" w:rsidRPr="00F37454" w:rsidRDefault="00626F66" w:rsidP="00552A21">
      <w:pPr>
        <w:spacing w:after="0" w:line="240" w:lineRule="auto"/>
        <w:jc w:val="both"/>
        <w:rPr>
          <w:rFonts w:ascii="Calibri" w:eastAsia="Calibri" w:hAnsi="Calibri" w:cs="Times New Roman"/>
          <w:sz w:val="20"/>
          <w:szCs w:val="20"/>
        </w:rPr>
      </w:pPr>
      <w:r w:rsidRPr="00070BEE">
        <w:rPr>
          <w:rStyle w:val="Refdenotaalpie"/>
          <w:rFonts w:ascii="Calibri" w:eastAsia="Calibri" w:hAnsi="Calibri" w:cs="Times New Roman"/>
        </w:rPr>
        <w:footnoteRef/>
      </w:r>
      <w:r w:rsidRPr="00070BEE">
        <w:rPr>
          <w:rFonts w:ascii="Calibri" w:eastAsia="Calibri" w:hAnsi="Calibri" w:cs="Times New Roman"/>
        </w:rPr>
        <w:t xml:space="preserve"> </w:t>
      </w:r>
      <w:r w:rsidRPr="00070BEE">
        <w:rPr>
          <w:rFonts w:ascii="Times New Roman" w:eastAsia="Calibri" w:hAnsi="Times New Roman" w:cs="Times New Roman"/>
          <w:iCs/>
          <w:sz w:val="20"/>
          <w:szCs w:val="20"/>
        </w:rPr>
        <w:t>Caso López Mendoza vs. Venezuela</w:t>
      </w:r>
      <w:r w:rsidRPr="00070BEE">
        <w:rPr>
          <w:rFonts w:ascii="Times New Roman" w:eastAsia="Calibri" w:hAnsi="Times New Roman" w:cs="Times New Roman"/>
          <w:sz w:val="20"/>
          <w:szCs w:val="20"/>
        </w:rPr>
        <w:t xml:space="preserve">, Sentencia </w:t>
      </w:r>
      <w:r>
        <w:rPr>
          <w:rFonts w:ascii="Times New Roman" w:eastAsia="Calibri" w:hAnsi="Times New Roman" w:cs="Times New Roman"/>
          <w:sz w:val="20"/>
          <w:szCs w:val="20"/>
        </w:rPr>
        <w:t xml:space="preserve">CIDH </w:t>
      </w:r>
      <w:r w:rsidRPr="00070BEE">
        <w:rPr>
          <w:rFonts w:ascii="Times New Roman" w:eastAsia="Calibri" w:hAnsi="Times New Roman" w:cs="Times New Roman"/>
          <w:sz w:val="20"/>
          <w:szCs w:val="20"/>
        </w:rPr>
        <w:t>1 de septiembre d</w:t>
      </w:r>
      <w:r>
        <w:rPr>
          <w:rFonts w:ascii="Times New Roman" w:eastAsia="Calibri" w:hAnsi="Times New Roman" w:cs="Times New Roman"/>
          <w:sz w:val="20"/>
          <w:szCs w:val="20"/>
        </w:rPr>
        <w:t xml:space="preserve">e 2011, Serie C No. 233; y </w:t>
      </w:r>
      <w:r w:rsidRPr="00280075">
        <w:rPr>
          <w:rFonts w:ascii="Times New Roman" w:eastAsia="Calibri" w:hAnsi="Times New Roman" w:cs="Times New Roman"/>
          <w:iCs/>
          <w:sz w:val="20"/>
          <w:szCs w:val="20"/>
          <w:lang w:val="pt-BR"/>
        </w:rPr>
        <w:t xml:space="preserve">Caso </w:t>
      </w:r>
      <w:proofErr w:type="spellStart"/>
      <w:r w:rsidRPr="00280075">
        <w:rPr>
          <w:rFonts w:ascii="Times New Roman" w:eastAsia="Calibri" w:hAnsi="Times New Roman" w:cs="Times New Roman"/>
          <w:iCs/>
          <w:sz w:val="20"/>
          <w:szCs w:val="20"/>
          <w:lang w:val="pt-BR"/>
        </w:rPr>
        <w:t>Castañeda</w:t>
      </w:r>
      <w:proofErr w:type="spellEnd"/>
      <w:r w:rsidRPr="00280075">
        <w:rPr>
          <w:rFonts w:ascii="Times New Roman" w:eastAsia="Calibri" w:hAnsi="Times New Roman" w:cs="Times New Roman"/>
          <w:iCs/>
          <w:sz w:val="20"/>
          <w:szCs w:val="20"/>
          <w:lang w:val="pt-BR"/>
        </w:rPr>
        <w:t xml:space="preserve"> </w:t>
      </w:r>
      <w:proofErr w:type="spellStart"/>
      <w:r w:rsidRPr="00280075">
        <w:rPr>
          <w:rFonts w:ascii="Times New Roman" w:eastAsia="Calibri" w:hAnsi="Times New Roman" w:cs="Times New Roman"/>
          <w:iCs/>
          <w:sz w:val="20"/>
          <w:szCs w:val="20"/>
          <w:lang w:val="pt-BR"/>
        </w:rPr>
        <w:t>Gutman</w:t>
      </w:r>
      <w:proofErr w:type="spellEnd"/>
      <w:r w:rsidRPr="00280075">
        <w:rPr>
          <w:rFonts w:ascii="Times New Roman" w:eastAsia="Calibri" w:hAnsi="Times New Roman" w:cs="Times New Roman"/>
          <w:iCs/>
          <w:sz w:val="20"/>
          <w:szCs w:val="20"/>
          <w:lang w:val="pt-BR"/>
        </w:rPr>
        <w:t xml:space="preserve"> Vs. </w:t>
      </w:r>
      <w:r w:rsidRPr="00280075">
        <w:rPr>
          <w:rFonts w:ascii="Times New Roman" w:eastAsia="Calibri" w:hAnsi="Times New Roman" w:cs="Times New Roman"/>
          <w:iCs/>
          <w:sz w:val="20"/>
          <w:szCs w:val="20"/>
        </w:rPr>
        <w:t>México</w:t>
      </w:r>
      <w:r w:rsidRPr="00280075">
        <w:rPr>
          <w:rFonts w:ascii="Times New Roman" w:eastAsia="Calibri" w:hAnsi="Times New Roman" w:cs="Times New Roman"/>
          <w:sz w:val="20"/>
          <w:szCs w:val="20"/>
        </w:rPr>
        <w:t xml:space="preserve">. Excepciones Preliminares, Fondo, Reparaciones y Costas. Sentencia de 6 de agosto de 2008. Serie C No. 184, </w:t>
      </w:r>
      <w:proofErr w:type="spellStart"/>
      <w:r w:rsidRPr="00280075">
        <w:rPr>
          <w:rFonts w:ascii="Times New Roman" w:eastAsia="Calibri" w:hAnsi="Times New Roman" w:cs="Times New Roman"/>
          <w:sz w:val="20"/>
          <w:szCs w:val="20"/>
        </w:rPr>
        <w:t>párrs</w:t>
      </w:r>
      <w:proofErr w:type="spellEnd"/>
      <w:r w:rsidRPr="00280075">
        <w:rPr>
          <w:rFonts w:ascii="Times New Roman" w:eastAsia="Calibri" w:hAnsi="Times New Roman" w:cs="Times New Roman"/>
          <w:sz w:val="20"/>
          <w:szCs w:val="20"/>
        </w:rPr>
        <w:t>. 172.</w:t>
      </w:r>
      <w:r w:rsidRPr="00280075">
        <w:rPr>
          <w:rFonts w:ascii="Calibri" w:eastAsia="Calibri" w:hAnsi="Calibri" w:cs="Times New Roman"/>
          <w:sz w:val="20"/>
          <w:szCs w:val="20"/>
        </w:rPr>
        <w:t xml:space="preserve"> </w:t>
      </w:r>
    </w:p>
  </w:footnote>
  <w:footnote w:id="31">
    <w:p w:rsidR="00626F66" w:rsidRDefault="00626F66" w:rsidP="00EC527A">
      <w:pPr>
        <w:pStyle w:val="Textonotapie"/>
        <w:jc w:val="both"/>
      </w:pPr>
      <w:r>
        <w:rPr>
          <w:rStyle w:val="Refdenotaalpie"/>
        </w:rPr>
        <w:footnoteRef/>
      </w:r>
      <w:r>
        <w:t>Observación General elaborada por el Comité sobre los Derechos de las Personas con Discapacidad, de 25 de noviembre de 2013 (</w:t>
      </w:r>
      <w:r w:rsidRPr="00E24D42">
        <w:t>CRPD/C/11/4</w:t>
      </w:r>
      <w:r>
        <w:t>)</w:t>
      </w:r>
      <w:r w:rsidRPr="00E24D42">
        <w:t>.</w:t>
      </w:r>
    </w:p>
  </w:footnote>
  <w:footnote w:id="32">
    <w:p w:rsidR="00626F66" w:rsidRDefault="00626F66" w:rsidP="00CB3DB8">
      <w:pPr>
        <w:pStyle w:val="Textonotapie"/>
        <w:jc w:val="both"/>
      </w:pPr>
      <w:r>
        <w:rPr>
          <w:rStyle w:val="Refdenotaalpie"/>
        </w:rPr>
        <w:footnoteRef/>
      </w:r>
      <w:r>
        <w:t xml:space="preserve"> Así, por ejemplo, en el examen a Túnez, el Comité recomendó a las autoridades tunecinas que </w:t>
      </w:r>
      <w:r>
        <w:rPr>
          <w:i/>
        </w:rPr>
        <w:t>“</w:t>
      </w:r>
      <w:proofErr w:type="gramStart"/>
      <w:r>
        <w:rPr>
          <w:i/>
        </w:rPr>
        <w:t>..</w:t>
      </w:r>
      <w:proofErr w:type="gramEnd"/>
      <w:r>
        <w:rPr>
          <w:i/>
        </w:rPr>
        <w:t xml:space="preserve"> se adopten con urgencia medidas legislativas para que las personas con discapacidad, incluidas las que están en régimen de tutela o curatela, puedan ejercer su derecho a voto y participar en la vida pública en pie de igualdad con las demás […]”</w:t>
      </w:r>
      <w:r>
        <w:t>.</w:t>
      </w:r>
    </w:p>
  </w:footnote>
  <w:footnote w:id="33">
    <w:p w:rsidR="00626F66" w:rsidRDefault="00626F66" w:rsidP="000C533F">
      <w:pPr>
        <w:pStyle w:val="Textonotapie"/>
        <w:jc w:val="both"/>
      </w:pPr>
      <w:r>
        <w:rPr>
          <w:rStyle w:val="Refdenotaalpie"/>
        </w:rPr>
        <w:footnoteRef/>
      </w:r>
      <w:r>
        <w:t xml:space="preserve"> </w:t>
      </w:r>
      <w:r w:rsidRPr="00D3312E">
        <w:t>Observaciones finales del Comité sobre los Derechos de</w:t>
      </w:r>
      <w:r>
        <w:t xml:space="preserve"> </w:t>
      </w:r>
      <w:r w:rsidRPr="00D3312E">
        <w:t>las Personas con Discapacidad</w:t>
      </w:r>
      <w:r>
        <w:t xml:space="preserve">, Examen a España, 19 de octubre de 2011, </w:t>
      </w:r>
      <w:r w:rsidRPr="00AB4E0A">
        <w:t xml:space="preserve">Comité sobre los Derechos de las Personas con Discapacidad, Sexto período de sesiones, </w:t>
      </w:r>
      <w:r w:rsidRPr="00D3312E">
        <w:t>19 a 23 de septiembre de 2011</w:t>
      </w:r>
      <w:r>
        <w:t xml:space="preserve"> (</w:t>
      </w:r>
      <w:r w:rsidRPr="00D3312E">
        <w:t>CRPD/C/ESP/CO/1</w:t>
      </w:r>
      <w:r>
        <w:t>).</w:t>
      </w:r>
    </w:p>
  </w:footnote>
  <w:footnote w:id="34">
    <w:p w:rsidR="00626F66" w:rsidRPr="00BB2DF9" w:rsidRDefault="00626F66" w:rsidP="00BB2DF9">
      <w:pPr>
        <w:pStyle w:val="Textonotapie"/>
        <w:jc w:val="both"/>
        <w:rPr>
          <w:b/>
        </w:rPr>
      </w:pPr>
      <w:r w:rsidRPr="00BB2DF9">
        <w:rPr>
          <w:rStyle w:val="Refdenotaalpie"/>
        </w:rPr>
        <w:footnoteRef/>
      </w:r>
      <w:r w:rsidRPr="00BB2DF9">
        <w:t xml:space="preserve"> Vid. Recomendaciones 47 y 48 del informe de Observaciones Generales.</w:t>
      </w:r>
    </w:p>
  </w:footnote>
  <w:footnote w:id="35">
    <w:p w:rsidR="00626F66" w:rsidRDefault="00626F66" w:rsidP="00CD6D34">
      <w:pPr>
        <w:pStyle w:val="Textonotapie"/>
        <w:jc w:val="both"/>
      </w:pPr>
      <w:r>
        <w:rPr>
          <w:rStyle w:val="Refdenotaalpie"/>
        </w:rPr>
        <w:footnoteRef/>
      </w:r>
      <w:r>
        <w:t xml:space="preserve"> Similares observaciones se formularon por el Comité respecto de Argentina (CRPD/C/ARG/CO/1, 19 de octubre de 2012, párrafo 47), China (CRPD/C/HUN/CO/1, 15 de octubre de 2012, párrafo 45), Hungría (CRPD/C/HUN/CO/1, 22 de octubre de 2012, párrafo 45), y Paraguay (CRPD/C/PRY/CO/1, 15 de mayo de 2013, párrafo 61).</w:t>
      </w:r>
    </w:p>
  </w:footnote>
  <w:footnote w:id="36">
    <w:p w:rsidR="00626F66" w:rsidRDefault="00626F66" w:rsidP="000C533F">
      <w:pPr>
        <w:pStyle w:val="Textonotapie"/>
      </w:pPr>
      <w:r>
        <w:rPr>
          <w:rStyle w:val="Refdenotaalpie"/>
        </w:rPr>
        <w:footnoteRef/>
      </w:r>
      <w:r>
        <w:t xml:space="preserve"> Opinión Consultiva del CPJI, de 31 de Julio de 1930, asunto de las Comunidades </w:t>
      </w:r>
      <w:proofErr w:type="spellStart"/>
      <w:r>
        <w:t>gtreco</w:t>
      </w:r>
      <w:proofErr w:type="spellEnd"/>
      <w:r>
        <w:t>-búlgaras.</w:t>
      </w:r>
    </w:p>
  </w:footnote>
  <w:footnote w:id="37">
    <w:p w:rsidR="00626F66" w:rsidRPr="00772948" w:rsidRDefault="00626F66" w:rsidP="000C533F">
      <w:pPr>
        <w:pStyle w:val="Textonotapie"/>
        <w:jc w:val="both"/>
      </w:pPr>
      <w:r>
        <w:rPr>
          <w:rStyle w:val="Refdenotaalpie"/>
        </w:rPr>
        <w:footnoteRef/>
      </w:r>
      <w:r w:rsidRPr="00883600">
        <w:rPr>
          <w:lang w:val="en-US"/>
        </w:rPr>
        <w:t xml:space="preserve"> CPJI, </w:t>
      </w:r>
      <w:proofErr w:type="spellStart"/>
      <w:r w:rsidRPr="00883600">
        <w:rPr>
          <w:lang w:val="en-US"/>
        </w:rPr>
        <w:t>Serie</w:t>
      </w:r>
      <w:proofErr w:type="spellEnd"/>
      <w:r w:rsidRPr="00883600">
        <w:rPr>
          <w:lang w:val="en-US"/>
        </w:rPr>
        <w:t xml:space="preserve"> B, </w:t>
      </w:r>
      <w:proofErr w:type="spellStart"/>
      <w:r w:rsidRPr="00883600">
        <w:rPr>
          <w:lang w:val="en-US"/>
        </w:rPr>
        <w:t>núm</w:t>
      </w:r>
      <w:proofErr w:type="spellEnd"/>
      <w:r w:rsidRPr="00883600">
        <w:rPr>
          <w:lang w:val="en-US"/>
        </w:rPr>
        <w:t xml:space="preserve">. 17, p. 32; CIJ, </w:t>
      </w:r>
      <w:proofErr w:type="spellStart"/>
      <w:r w:rsidRPr="00883600">
        <w:rPr>
          <w:i/>
          <w:iCs/>
          <w:lang w:val="en-US"/>
        </w:rPr>
        <w:t>Recueil</w:t>
      </w:r>
      <w:proofErr w:type="spellEnd"/>
      <w:r w:rsidRPr="00883600">
        <w:rPr>
          <w:i/>
          <w:iCs/>
          <w:lang w:val="en-US"/>
        </w:rPr>
        <w:t xml:space="preserve"> des </w:t>
      </w:r>
      <w:proofErr w:type="spellStart"/>
      <w:r w:rsidRPr="00883600">
        <w:rPr>
          <w:i/>
          <w:iCs/>
          <w:lang w:val="en-US"/>
        </w:rPr>
        <w:t>Cours</w:t>
      </w:r>
      <w:proofErr w:type="spellEnd"/>
      <w:r w:rsidRPr="00883600">
        <w:rPr>
          <w:lang w:val="en-US"/>
        </w:rPr>
        <w:t xml:space="preserve">, </w:t>
      </w:r>
      <w:r w:rsidRPr="00883600">
        <w:rPr>
          <w:i/>
          <w:iCs/>
          <w:lang w:val="en-US"/>
        </w:rPr>
        <w:t>Collected Courses of the Hague Academy of Interna</w:t>
      </w:r>
      <w:r>
        <w:rPr>
          <w:i/>
          <w:iCs/>
          <w:lang w:val="en-US"/>
        </w:rPr>
        <w:t>t</w:t>
      </w:r>
      <w:r w:rsidRPr="00883600">
        <w:rPr>
          <w:i/>
          <w:iCs/>
          <w:lang w:val="en-US"/>
        </w:rPr>
        <w:t>ional Law</w:t>
      </w:r>
      <w:r w:rsidRPr="00883600">
        <w:rPr>
          <w:lang w:val="en-US"/>
        </w:rPr>
        <w:t xml:space="preserve">, London, </w:t>
      </w:r>
      <w:proofErr w:type="spellStart"/>
      <w:r w:rsidRPr="00883600">
        <w:rPr>
          <w:lang w:val="en-US"/>
        </w:rPr>
        <w:t>Martinus</w:t>
      </w:r>
      <w:proofErr w:type="spellEnd"/>
      <w:r w:rsidRPr="00883600">
        <w:rPr>
          <w:lang w:val="en-US"/>
        </w:rPr>
        <w:t xml:space="preserve"> </w:t>
      </w:r>
      <w:proofErr w:type="spellStart"/>
      <w:r w:rsidRPr="00883600">
        <w:rPr>
          <w:lang w:val="en-US"/>
        </w:rPr>
        <w:t>Nijhoff</w:t>
      </w:r>
      <w:proofErr w:type="spellEnd"/>
      <w:r w:rsidRPr="00883600">
        <w:rPr>
          <w:lang w:val="en-US"/>
        </w:rPr>
        <w:t xml:space="preserve"> Publishers, 1988, p. 35.</w:t>
      </w:r>
      <w:r>
        <w:rPr>
          <w:lang w:val="en-US"/>
        </w:rPr>
        <w:t xml:space="preserve"> </w:t>
      </w:r>
      <w:r>
        <w:t xml:space="preserve">Vid. inter </w:t>
      </w:r>
      <w:proofErr w:type="spellStart"/>
      <w:r>
        <w:t>alia</w:t>
      </w:r>
      <w:proofErr w:type="spellEnd"/>
      <w:r>
        <w:t xml:space="preserve"> la sentencia de la CPJI sobre el vapor “Wimbledon”, de 28 de julio de 1924, o el dictamen sobre las zonas francas de la Alta Saboya, de 1930.</w:t>
      </w:r>
    </w:p>
  </w:footnote>
  <w:footnote w:id="38">
    <w:p w:rsidR="00626F66" w:rsidRPr="00153375" w:rsidRDefault="00626F66" w:rsidP="00772948">
      <w:pPr>
        <w:pStyle w:val="Textonotapie"/>
        <w:jc w:val="both"/>
        <w:rPr>
          <w:i/>
        </w:rPr>
      </w:pPr>
      <w:r>
        <w:rPr>
          <w:rStyle w:val="Refdenotaalpie"/>
        </w:rPr>
        <w:footnoteRef/>
      </w:r>
      <w:r>
        <w:t xml:space="preserve"> Art. 95 CE: </w:t>
      </w:r>
      <w:r w:rsidRPr="00153375">
        <w:rPr>
          <w:i/>
        </w:rPr>
        <w:t>“</w:t>
      </w:r>
      <w:r w:rsidRPr="00153375">
        <w:rPr>
          <w:bCs/>
          <w:i/>
        </w:rPr>
        <w:t>1</w:t>
      </w:r>
      <w:r w:rsidRPr="00153375">
        <w:rPr>
          <w:b/>
          <w:bCs/>
          <w:i/>
        </w:rPr>
        <w:t xml:space="preserve">. </w:t>
      </w:r>
      <w:r w:rsidRPr="00153375">
        <w:rPr>
          <w:i/>
        </w:rPr>
        <w:t>La celebración de un tratado internacional que contenga estipulaciones contrarias a la Constitución exigirá la previa revisión constitucional.”</w:t>
      </w:r>
    </w:p>
  </w:footnote>
  <w:footnote w:id="39">
    <w:p w:rsidR="00626F66" w:rsidRPr="0052568C" w:rsidRDefault="00626F66" w:rsidP="0052568C">
      <w:pPr>
        <w:pStyle w:val="Textonotapie"/>
        <w:jc w:val="both"/>
      </w:pPr>
      <w:r>
        <w:rPr>
          <w:rStyle w:val="Refdenotaalpie"/>
        </w:rPr>
        <w:footnoteRef/>
      </w:r>
      <w:r>
        <w:t xml:space="preserve"> </w:t>
      </w:r>
      <w:r w:rsidRPr="0052568C">
        <w:t xml:space="preserve">En línea con este mandato, posteriormente, se aprobaron varias normas, como la </w:t>
      </w:r>
      <w:r w:rsidRPr="0052568C">
        <w:rPr>
          <w:i/>
        </w:rPr>
        <w:t>Ley Orgánica 9/2007, de 8 de octubre, de modificación de la Ley Orgánica 5/1985, de 19 de junio, del Régimen Electoral General</w:t>
      </w:r>
      <w:r w:rsidRPr="0052568C">
        <w:t xml:space="preserve">, el </w:t>
      </w:r>
      <w:r w:rsidRPr="0052568C">
        <w:rPr>
          <w:i/>
        </w:rPr>
        <w:t>Real Decreto 1612/2007, de 7 de diciembre, por el que se regula el procedimiento de voto accesible que facilita a las personas con discapacidad visual el ejercicio del derecho de sufragio</w:t>
      </w:r>
      <w:r w:rsidRPr="0052568C">
        <w:t xml:space="preserve">, y la </w:t>
      </w:r>
      <w:r w:rsidRPr="0052568C">
        <w:rPr>
          <w:i/>
        </w:rPr>
        <w:t>Ley 27/2007, de 23 de octubre, por la que se reconocen las lenguas de signos españolas y se regulan los medios de apoyo a la comunicación oral de las personas sordas, con discapacidad auditiva y sordo ciegas</w:t>
      </w:r>
      <w:r w:rsidRPr="0052568C">
        <w:t>, que también hacían referencia a la accesibilidad y la participación política de dichas personas.</w:t>
      </w:r>
    </w:p>
    <w:p w:rsidR="00626F66" w:rsidRDefault="00626F66">
      <w:pPr>
        <w:pStyle w:val="Textonotapie"/>
      </w:pPr>
    </w:p>
  </w:footnote>
  <w:footnote w:id="40">
    <w:p w:rsidR="00626F66" w:rsidRPr="003E6079" w:rsidRDefault="00626F66">
      <w:pPr>
        <w:pStyle w:val="Textonotapie"/>
        <w:rPr>
          <w:i/>
        </w:rPr>
      </w:pPr>
      <w:r>
        <w:rPr>
          <w:rStyle w:val="Refdenotaalpie"/>
        </w:rPr>
        <w:footnoteRef/>
      </w:r>
      <w:r>
        <w:t xml:space="preserve"> En esta misma línea jurisprudencia, cfr. </w:t>
      </w:r>
      <w:r>
        <w:rPr>
          <w:i/>
        </w:rPr>
        <w:t>Sentencias de la Audiencia Provincial de Barcelona de 10 de noviembre de 2014, 19 de noviembre de 2014 y 18 de marzo de 2015.</w:t>
      </w:r>
    </w:p>
  </w:footnote>
  <w:footnote w:id="41">
    <w:p w:rsidR="00626F66" w:rsidRDefault="00626F66" w:rsidP="006947DF">
      <w:pPr>
        <w:pStyle w:val="Textonotapie"/>
      </w:pPr>
      <w:r>
        <w:rPr>
          <w:rStyle w:val="Refdenotaalpie"/>
        </w:rPr>
        <w:footnoteRef/>
      </w:r>
      <w:r>
        <w:t xml:space="preserve"> S</w:t>
      </w:r>
      <w:r w:rsidRPr="00DA331D">
        <w:t>egún datos de 2011 de la Junta Electoral Centra</w:t>
      </w:r>
      <w:r>
        <w:t>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D5C9126"/>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9E3C3F"/>
    <w:multiLevelType w:val="multilevel"/>
    <w:tmpl w:val="0090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A63FEA"/>
    <w:multiLevelType w:val="hybridMultilevel"/>
    <w:tmpl w:val="E61ECF1C"/>
    <w:lvl w:ilvl="0" w:tplc="17543C20">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0A895851"/>
    <w:multiLevelType w:val="hybridMultilevel"/>
    <w:tmpl w:val="83A00B8E"/>
    <w:lvl w:ilvl="0" w:tplc="E0D0278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73E61C8"/>
    <w:multiLevelType w:val="hybridMultilevel"/>
    <w:tmpl w:val="83A00B8E"/>
    <w:lvl w:ilvl="0" w:tplc="E0D0278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524005C"/>
    <w:multiLevelType w:val="multilevel"/>
    <w:tmpl w:val="FFD6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76467D"/>
    <w:multiLevelType w:val="multilevel"/>
    <w:tmpl w:val="FC36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C053E0"/>
    <w:multiLevelType w:val="multilevel"/>
    <w:tmpl w:val="1804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5D46C6"/>
    <w:multiLevelType w:val="multilevel"/>
    <w:tmpl w:val="CED4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264A57"/>
    <w:multiLevelType w:val="multilevel"/>
    <w:tmpl w:val="6108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A74800"/>
    <w:multiLevelType w:val="multilevel"/>
    <w:tmpl w:val="E39A3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8516D4"/>
    <w:multiLevelType w:val="multilevel"/>
    <w:tmpl w:val="E9A86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83314E"/>
    <w:multiLevelType w:val="hybridMultilevel"/>
    <w:tmpl w:val="FBFA6944"/>
    <w:lvl w:ilvl="0" w:tplc="DE3AE168">
      <w:start w:val="1"/>
      <w:numFmt w:val="upperRoman"/>
      <w:lvlText w:val="%1."/>
      <w:lvlJc w:val="left"/>
      <w:pPr>
        <w:ind w:left="1425" w:hanging="72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3">
    <w:nsid w:val="3B3F24D4"/>
    <w:multiLevelType w:val="hybridMultilevel"/>
    <w:tmpl w:val="487E7684"/>
    <w:lvl w:ilvl="0" w:tplc="1ABAC9F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nsid w:val="48A41015"/>
    <w:multiLevelType w:val="multilevel"/>
    <w:tmpl w:val="4154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09422B"/>
    <w:multiLevelType w:val="hybridMultilevel"/>
    <w:tmpl w:val="72C0B564"/>
    <w:lvl w:ilvl="0" w:tplc="4670C6DC">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6">
    <w:nsid w:val="4DA91065"/>
    <w:multiLevelType w:val="multilevel"/>
    <w:tmpl w:val="5AB8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545E96"/>
    <w:multiLevelType w:val="multilevel"/>
    <w:tmpl w:val="B5D4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E44277"/>
    <w:multiLevelType w:val="multilevel"/>
    <w:tmpl w:val="3164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4E2E6E"/>
    <w:multiLevelType w:val="multilevel"/>
    <w:tmpl w:val="C652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9DC4273"/>
    <w:multiLevelType w:val="multilevel"/>
    <w:tmpl w:val="D474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CB75997"/>
    <w:multiLevelType w:val="multilevel"/>
    <w:tmpl w:val="73A62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15"/>
  </w:num>
  <w:num w:numId="4">
    <w:abstractNumId w:val="2"/>
  </w:num>
  <w:num w:numId="5">
    <w:abstractNumId w:val="13"/>
  </w:num>
  <w:num w:numId="6">
    <w:abstractNumId w:val="6"/>
  </w:num>
  <w:num w:numId="7">
    <w:abstractNumId w:val="0"/>
  </w:num>
  <w:num w:numId="8">
    <w:abstractNumId w:val="18"/>
  </w:num>
  <w:num w:numId="9">
    <w:abstractNumId w:val="9"/>
  </w:num>
  <w:num w:numId="10">
    <w:abstractNumId w:val="17"/>
  </w:num>
  <w:num w:numId="11">
    <w:abstractNumId w:val="16"/>
  </w:num>
  <w:num w:numId="12">
    <w:abstractNumId w:val="5"/>
  </w:num>
  <w:num w:numId="13">
    <w:abstractNumId w:val="7"/>
  </w:num>
  <w:num w:numId="14">
    <w:abstractNumId w:val="20"/>
  </w:num>
  <w:num w:numId="15">
    <w:abstractNumId w:val="11"/>
  </w:num>
  <w:num w:numId="16">
    <w:abstractNumId w:val="14"/>
  </w:num>
  <w:num w:numId="17">
    <w:abstractNumId w:val="19"/>
  </w:num>
  <w:num w:numId="18">
    <w:abstractNumId w:val="8"/>
  </w:num>
  <w:num w:numId="19">
    <w:abstractNumId w:val="21"/>
  </w:num>
  <w:num w:numId="20">
    <w:abstractNumId w:val="3"/>
  </w:num>
  <w:num w:numId="21">
    <w:abstractNumId w:val="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33F"/>
    <w:rsid w:val="000029F7"/>
    <w:rsid w:val="00011938"/>
    <w:rsid w:val="00011C50"/>
    <w:rsid w:val="00012173"/>
    <w:rsid w:val="00012608"/>
    <w:rsid w:val="00013576"/>
    <w:rsid w:val="00015F0F"/>
    <w:rsid w:val="000246AC"/>
    <w:rsid w:val="000246FB"/>
    <w:rsid w:val="00030371"/>
    <w:rsid w:val="00031C7C"/>
    <w:rsid w:val="00032D45"/>
    <w:rsid w:val="000342C0"/>
    <w:rsid w:val="000373CA"/>
    <w:rsid w:val="000450C6"/>
    <w:rsid w:val="00046785"/>
    <w:rsid w:val="000471BA"/>
    <w:rsid w:val="000500C1"/>
    <w:rsid w:val="000509DD"/>
    <w:rsid w:val="00051410"/>
    <w:rsid w:val="000618D8"/>
    <w:rsid w:val="000661C9"/>
    <w:rsid w:val="00070BEE"/>
    <w:rsid w:val="00073D88"/>
    <w:rsid w:val="00075A9D"/>
    <w:rsid w:val="00077C55"/>
    <w:rsid w:val="00087AFC"/>
    <w:rsid w:val="00092C11"/>
    <w:rsid w:val="00097D53"/>
    <w:rsid w:val="000A1090"/>
    <w:rsid w:val="000B30BF"/>
    <w:rsid w:val="000B3F03"/>
    <w:rsid w:val="000C06B1"/>
    <w:rsid w:val="000C533F"/>
    <w:rsid w:val="000C663B"/>
    <w:rsid w:val="000D0590"/>
    <w:rsid w:val="000D446B"/>
    <w:rsid w:val="000E3541"/>
    <w:rsid w:val="000F6CD9"/>
    <w:rsid w:val="00102595"/>
    <w:rsid w:val="00102B2F"/>
    <w:rsid w:val="00104C0D"/>
    <w:rsid w:val="001140E5"/>
    <w:rsid w:val="0011785C"/>
    <w:rsid w:val="0012040F"/>
    <w:rsid w:val="001208DD"/>
    <w:rsid w:val="00123AF3"/>
    <w:rsid w:val="001259FA"/>
    <w:rsid w:val="00133FF6"/>
    <w:rsid w:val="00153375"/>
    <w:rsid w:val="0015668F"/>
    <w:rsid w:val="00157A57"/>
    <w:rsid w:val="00165226"/>
    <w:rsid w:val="001652FA"/>
    <w:rsid w:val="001719F8"/>
    <w:rsid w:val="00172F44"/>
    <w:rsid w:val="00174632"/>
    <w:rsid w:val="00175648"/>
    <w:rsid w:val="001834A2"/>
    <w:rsid w:val="00187102"/>
    <w:rsid w:val="00190757"/>
    <w:rsid w:val="001A0D76"/>
    <w:rsid w:val="001A4B3B"/>
    <w:rsid w:val="001B16C5"/>
    <w:rsid w:val="001B2BC4"/>
    <w:rsid w:val="001B6726"/>
    <w:rsid w:val="001C1130"/>
    <w:rsid w:val="001C2969"/>
    <w:rsid w:val="001D0CC8"/>
    <w:rsid w:val="001E0B8F"/>
    <w:rsid w:val="001E2574"/>
    <w:rsid w:val="001E53FE"/>
    <w:rsid w:val="001F4382"/>
    <w:rsid w:val="00200F25"/>
    <w:rsid w:val="00201936"/>
    <w:rsid w:val="002058CE"/>
    <w:rsid w:val="00221A90"/>
    <w:rsid w:val="002228D6"/>
    <w:rsid w:val="00224E7D"/>
    <w:rsid w:val="00235141"/>
    <w:rsid w:val="00236614"/>
    <w:rsid w:val="002426D9"/>
    <w:rsid w:val="00246623"/>
    <w:rsid w:val="00247227"/>
    <w:rsid w:val="00250F46"/>
    <w:rsid w:val="00252CC0"/>
    <w:rsid w:val="0025349C"/>
    <w:rsid w:val="00253C38"/>
    <w:rsid w:val="002559B7"/>
    <w:rsid w:val="002560C7"/>
    <w:rsid w:val="00260B68"/>
    <w:rsid w:val="00260F68"/>
    <w:rsid w:val="00261DD8"/>
    <w:rsid w:val="00261FAA"/>
    <w:rsid w:val="00262A92"/>
    <w:rsid w:val="00264B93"/>
    <w:rsid w:val="00270E68"/>
    <w:rsid w:val="0027473B"/>
    <w:rsid w:val="002822D7"/>
    <w:rsid w:val="00284729"/>
    <w:rsid w:val="00284B00"/>
    <w:rsid w:val="002909CC"/>
    <w:rsid w:val="002A11C3"/>
    <w:rsid w:val="002A5022"/>
    <w:rsid w:val="002C2088"/>
    <w:rsid w:val="002C28F6"/>
    <w:rsid w:val="002C6EAD"/>
    <w:rsid w:val="002D23F9"/>
    <w:rsid w:val="002E19E9"/>
    <w:rsid w:val="002E6A91"/>
    <w:rsid w:val="002F0005"/>
    <w:rsid w:val="002F0073"/>
    <w:rsid w:val="002F32BB"/>
    <w:rsid w:val="002F74FE"/>
    <w:rsid w:val="00307AEF"/>
    <w:rsid w:val="00310233"/>
    <w:rsid w:val="00316889"/>
    <w:rsid w:val="00327F4F"/>
    <w:rsid w:val="00331014"/>
    <w:rsid w:val="00331D6B"/>
    <w:rsid w:val="00334B0C"/>
    <w:rsid w:val="00352366"/>
    <w:rsid w:val="0036379A"/>
    <w:rsid w:val="00363E78"/>
    <w:rsid w:val="00374A74"/>
    <w:rsid w:val="00376D8E"/>
    <w:rsid w:val="003A432F"/>
    <w:rsid w:val="003B131D"/>
    <w:rsid w:val="003B39A7"/>
    <w:rsid w:val="003B7414"/>
    <w:rsid w:val="003C1C17"/>
    <w:rsid w:val="003C4224"/>
    <w:rsid w:val="003C698B"/>
    <w:rsid w:val="003E25D7"/>
    <w:rsid w:val="003E6079"/>
    <w:rsid w:val="003E66F2"/>
    <w:rsid w:val="00404EB6"/>
    <w:rsid w:val="00427191"/>
    <w:rsid w:val="004321E6"/>
    <w:rsid w:val="004508B5"/>
    <w:rsid w:val="00451AC7"/>
    <w:rsid w:val="00452F4F"/>
    <w:rsid w:val="00472799"/>
    <w:rsid w:val="0048781D"/>
    <w:rsid w:val="004966FE"/>
    <w:rsid w:val="004B0210"/>
    <w:rsid w:val="004B0649"/>
    <w:rsid w:val="004B663D"/>
    <w:rsid w:val="004C6377"/>
    <w:rsid w:val="004C687C"/>
    <w:rsid w:val="004D310B"/>
    <w:rsid w:val="004D5B6C"/>
    <w:rsid w:val="004E10E9"/>
    <w:rsid w:val="004E2FCA"/>
    <w:rsid w:val="004E7AB6"/>
    <w:rsid w:val="004F1474"/>
    <w:rsid w:val="004F62CB"/>
    <w:rsid w:val="004F737D"/>
    <w:rsid w:val="00502A61"/>
    <w:rsid w:val="00506B96"/>
    <w:rsid w:val="00514A9D"/>
    <w:rsid w:val="00524A9C"/>
    <w:rsid w:val="0052568C"/>
    <w:rsid w:val="0053482D"/>
    <w:rsid w:val="00541F49"/>
    <w:rsid w:val="00542627"/>
    <w:rsid w:val="005453E6"/>
    <w:rsid w:val="00545517"/>
    <w:rsid w:val="005502DB"/>
    <w:rsid w:val="00552A21"/>
    <w:rsid w:val="00556CBA"/>
    <w:rsid w:val="0056013F"/>
    <w:rsid w:val="00564B3C"/>
    <w:rsid w:val="00574142"/>
    <w:rsid w:val="00581DF9"/>
    <w:rsid w:val="005824F5"/>
    <w:rsid w:val="005A30D3"/>
    <w:rsid w:val="005B4444"/>
    <w:rsid w:val="005B4A0B"/>
    <w:rsid w:val="005C2BBD"/>
    <w:rsid w:val="005D18C8"/>
    <w:rsid w:val="005E046B"/>
    <w:rsid w:val="005E4518"/>
    <w:rsid w:val="005E4EDE"/>
    <w:rsid w:val="005E701A"/>
    <w:rsid w:val="005F2F96"/>
    <w:rsid w:val="005F6795"/>
    <w:rsid w:val="00600C90"/>
    <w:rsid w:val="00604B28"/>
    <w:rsid w:val="006102AD"/>
    <w:rsid w:val="0061104A"/>
    <w:rsid w:val="00613712"/>
    <w:rsid w:val="006153DC"/>
    <w:rsid w:val="00617BD2"/>
    <w:rsid w:val="00617D08"/>
    <w:rsid w:val="0062070A"/>
    <w:rsid w:val="006229BD"/>
    <w:rsid w:val="00626F66"/>
    <w:rsid w:val="00641BDD"/>
    <w:rsid w:val="00653CB4"/>
    <w:rsid w:val="00656981"/>
    <w:rsid w:val="00666279"/>
    <w:rsid w:val="00670583"/>
    <w:rsid w:val="00673A1B"/>
    <w:rsid w:val="0067409B"/>
    <w:rsid w:val="006759EE"/>
    <w:rsid w:val="00682C79"/>
    <w:rsid w:val="0068641B"/>
    <w:rsid w:val="00686BC1"/>
    <w:rsid w:val="00690630"/>
    <w:rsid w:val="00693037"/>
    <w:rsid w:val="006942CB"/>
    <w:rsid w:val="006947DF"/>
    <w:rsid w:val="00695A54"/>
    <w:rsid w:val="006A19DB"/>
    <w:rsid w:val="006A77A9"/>
    <w:rsid w:val="006B592C"/>
    <w:rsid w:val="006C2290"/>
    <w:rsid w:val="006C2A74"/>
    <w:rsid w:val="006C49AB"/>
    <w:rsid w:val="006C5045"/>
    <w:rsid w:val="006D297D"/>
    <w:rsid w:val="006D4761"/>
    <w:rsid w:val="006E22B9"/>
    <w:rsid w:val="007017FD"/>
    <w:rsid w:val="0070279E"/>
    <w:rsid w:val="00710024"/>
    <w:rsid w:val="00713CFC"/>
    <w:rsid w:val="00714612"/>
    <w:rsid w:val="00720652"/>
    <w:rsid w:val="00721541"/>
    <w:rsid w:val="00726129"/>
    <w:rsid w:val="0073238B"/>
    <w:rsid w:val="00734832"/>
    <w:rsid w:val="0074215E"/>
    <w:rsid w:val="0074311C"/>
    <w:rsid w:val="00746CF1"/>
    <w:rsid w:val="00756F3E"/>
    <w:rsid w:val="00765EA6"/>
    <w:rsid w:val="00772948"/>
    <w:rsid w:val="00780099"/>
    <w:rsid w:val="00786A99"/>
    <w:rsid w:val="00795C21"/>
    <w:rsid w:val="007A0D4F"/>
    <w:rsid w:val="007B1FCF"/>
    <w:rsid w:val="007B33E2"/>
    <w:rsid w:val="007C771B"/>
    <w:rsid w:val="007D2543"/>
    <w:rsid w:val="007D736D"/>
    <w:rsid w:val="00806A28"/>
    <w:rsid w:val="008074B2"/>
    <w:rsid w:val="008105F3"/>
    <w:rsid w:val="008128CD"/>
    <w:rsid w:val="00814267"/>
    <w:rsid w:val="008160FE"/>
    <w:rsid w:val="00822DF2"/>
    <w:rsid w:val="00837E27"/>
    <w:rsid w:val="00840000"/>
    <w:rsid w:val="00845574"/>
    <w:rsid w:val="008478C2"/>
    <w:rsid w:val="00850D3F"/>
    <w:rsid w:val="00855A43"/>
    <w:rsid w:val="00856A15"/>
    <w:rsid w:val="0086003A"/>
    <w:rsid w:val="0086634B"/>
    <w:rsid w:val="00866DE6"/>
    <w:rsid w:val="0087136D"/>
    <w:rsid w:val="008735F8"/>
    <w:rsid w:val="008755B1"/>
    <w:rsid w:val="00883600"/>
    <w:rsid w:val="00892038"/>
    <w:rsid w:val="008973C6"/>
    <w:rsid w:val="008A08C4"/>
    <w:rsid w:val="008A3E2D"/>
    <w:rsid w:val="008A4E41"/>
    <w:rsid w:val="008C2B02"/>
    <w:rsid w:val="008C4F22"/>
    <w:rsid w:val="008D1069"/>
    <w:rsid w:val="008D6D09"/>
    <w:rsid w:val="008E3069"/>
    <w:rsid w:val="008F2C8C"/>
    <w:rsid w:val="008F35CA"/>
    <w:rsid w:val="00902A52"/>
    <w:rsid w:val="009068C5"/>
    <w:rsid w:val="0091303D"/>
    <w:rsid w:val="009163D0"/>
    <w:rsid w:val="0092461F"/>
    <w:rsid w:val="009404F7"/>
    <w:rsid w:val="009413DE"/>
    <w:rsid w:val="00945625"/>
    <w:rsid w:val="00951DD6"/>
    <w:rsid w:val="009667B2"/>
    <w:rsid w:val="009677D2"/>
    <w:rsid w:val="009729B6"/>
    <w:rsid w:val="009816DA"/>
    <w:rsid w:val="00983E6C"/>
    <w:rsid w:val="00985EB3"/>
    <w:rsid w:val="009900A6"/>
    <w:rsid w:val="009903BB"/>
    <w:rsid w:val="00992C6C"/>
    <w:rsid w:val="009A123D"/>
    <w:rsid w:val="009A4D20"/>
    <w:rsid w:val="009A57E5"/>
    <w:rsid w:val="009B0756"/>
    <w:rsid w:val="009B203D"/>
    <w:rsid w:val="009B311D"/>
    <w:rsid w:val="009B59C3"/>
    <w:rsid w:val="009E226A"/>
    <w:rsid w:val="009F14BA"/>
    <w:rsid w:val="009F2C69"/>
    <w:rsid w:val="00A10E57"/>
    <w:rsid w:val="00A15E2A"/>
    <w:rsid w:val="00A35F5A"/>
    <w:rsid w:val="00A36BFD"/>
    <w:rsid w:val="00A402FB"/>
    <w:rsid w:val="00A409D2"/>
    <w:rsid w:val="00A418FD"/>
    <w:rsid w:val="00A452E4"/>
    <w:rsid w:val="00A45D6C"/>
    <w:rsid w:val="00A60397"/>
    <w:rsid w:val="00A61260"/>
    <w:rsid w:val="00A64D58"/>
    <w:rsid w:val="00A76E60"/>
    <w:rsid w:val="00A8239D"/>
    <w:rsid w:val="00A83CB6"/>
    <w:rsid w:val="00A9514A"/>
    <w:rsid w:val="00A9618C"/>
    <w:rsid w:val="00AA2695"/>
    <w:rsid w:val="00AA3882"/>
    <w:rsid w:val="00AA4612"/>
    <w:rsid w:val="00AB2D47"/>
    <w:rsid w:val="00AB36C5"/>
    <w:rsid w:val="00AB3EEA"/>
    <w:rsid w:val="00AB4E0A"/>
    <w:rsid w:val="00AC4937"/>
    <w:rsid w:val="00AD0C61"/>
    <w:rsid w:val="00AD49F4"/>
    <w:rsid w:val="00AE2346"/>
    <w:rsid w:val="00AE3929"/>
    <w:rsid w:val="00AE640D"/>
    <w:rsid w:val="00AF20CB"/>
    <w:rsid w:val="00B127E5"/>
    <w:rsid w:val="00B137CC"/>
    <w:rsid w:val="00B154EF"/>
    <w:rsid w:val="00B25E8F"/>
    <w:rsid w:val="00B35DF8"/>
    <w:rsid w:val="00B434B7"/>
    <w:rsid w:val="00B51467"/>
    <w:rsid w:val="00B570BC"/>
    <w:rsid w:val="00B611BA"/>
    <w:rsid w:val="00B655E0"/>
    <w:rsid w:val="00B66658"/>
    <w:rsid w:val="00B737F4"/>
    <w:rsid w:val="00B745B3"/>
    <w:rsid w:val="00B771CC"/>
    <w:rsid w:val="00B8522D"/>
    <w:rsid w:val="00B87A42"/>
    <w:rsid w:val="00B9017A"/>
    <w:rsid w:val="00B9112D"/>
    <w:rsid w:val="00BA2C29"/>
    <w:rsid w:val="00BA4A49"/>
    <w:rsid w:val="00BB0EE4"/>
    <w:rsid w:val="00BB2DF9"/>
    <w:rsid w:val="00BC784C"/>
    <w:rsid w:val="00BD4DAF"/>
    <w:rsid w:val="00BD59F8"/>
    <w:rsid w:val="00BD6D20"/>
    <w:rsid w:val="00BE6E1A"/>
    <w:rsid w:val="00BF01B4"/>
    <w:rsid w:val="00BF13FE"/>
    <w:rsid w:val="00BF4B15"/>
    <w:rsid w:val="00C0187D"/>
    <w:rsid w:val="00C040ED"/>
    <w:rsid w:val="00C16974"/>
    <w:rsid w:val="00C217CC"/>
    <w:rsid w:val="00C24144"/>
    <w:rsid w:val="00C25D3D"/>
    <w:rsid w:val="00C33177"/>
    <w:rsid w:val="00C34604"/>
    <w:rsid w:val="00C3476A"/>
    <w:rsid w:val="00C37DF2"/>
    <w:rsid w:val="00C41AEE"/>
    <w:rsid w:val="00C41F9A"/>
    <w:rsid w:val="00C446C7"/>
    <w:rsid w:val="00C61601"/>
    <w:rsid w:val="00C645C7"/>
    <w:rsid w:val="00C8460A"/>
    <w:rsid w:val="00C86017"/>
    <w:rsid w:val="00C92855"/>
    <w:rsid w:val="00C95D08"/>
    <w:rsid w:val="00C961E3"/>
    <w:rsid w:val="00CA2840"/>
    <w:rsid w:val="00CA5CE4"/>
    <w:rsid w:val="00CB059E"/>
    <w:rsid w:val="00CB060F"/>
    <w:rsid w:val="00CB08D0"/>
    <w:rsid w:val="00CB3DB8"/>
    <w:rsid w:val="00CB4878"/>
    <w:rsid w:val="00CB59ED"/>
    <w:rsid w:val="00CC01B7"/>
    <w:rsid w:val="00CC5E6E"/>
    <w:rsid w:val="00CC7E94"/>
    <w:rsid w:val="00CD29A1"/>
    <w:rsid w:val="00CD5E48"/>
    <w:rsid w:val="00CD6D34"/>
    <w:rsid w:val="00CE46CE"/>
    <w:rsid w:val="00CE47DD"/>
    <w:rsid w:val="00CF1FC9"/>
    <w:rsid w:val="00CF6569"/>
    <w:rsid w:val="00D0298F"/>
    <w:rsid w:val="00D05FAF"/>
    <w:rsid w:val="00D06133"/>
    <w:rsid w:val="00D065AF"/>
    <w:rsid w:val="00D14943"/>
    <w:rsid w:val="00D154A9"/>
    <w:rsid w:val="00D30699"/>
    <w:rsid w:val="00D5199B"/>
    <w:rsid w:val="00D53F51"/>
    <w:rsid w:val="00D60E51"/>
    <w:rsid w:val="00D62C42"/>
    <w:rsid w:val="00D67708"/>
    <w:rsid w:val="00D7387F"/>
    <w:rsid w:val="00D8470A"/>
    <w:rsid w:val="00D847E4"/>
    <w:rsid w:val="00D856CE"/>
    <w:rsid w:val="00D92DBA"/>
    <w:rsid w:val="00DA3F6F"/>
    <w:rsid w:val="00DB040D"/>
    <w:rsid w:val="00DB3F1C"/>
    <w:rsid w:val="00DB69AD"/>
    <w:rsid w:val="00DB7067"/>
    <w:rsid w:val="00DC5078"/>
    <w:rsid w:val="00DD2738"/>
    <w:rsid w:val="00DE5D4C"/>
    <w:rsid w:val="00DF0869"/>
    <w:rsid w:val="00DF38FE"/>
    <w:rsid w:val="00E0513F"/>
    <w:rsid w:val="00E13B5D"/>
    <w:rsid w:val="00E16AE8"/>
    <w:rsid w:val="00E22061"/>
    <w:rsid w:val="00E25793"/>
    <w:rsid w:val="00E30E1D"/>
    <w:rsid w:val="00E42239"/>
    <w:rsid w:val="00E438A9"/>
    <w:rsid w:val="00E52244"/>
    <w:rsid w:val="00E52724"/>
    <w:rsid w:val="00E6328C"/>
    <w:rsid w:val="00E74C9A"/>
    <w:rsid w:val="00E74CE8"/>
    <w:rsid w:val="00E75593"/>
    <w:rsid w:val="00E76029"/>
    <w:rsid w:val="00E77177"/>
    <w:rsid w:val="00E8181E"/>
    <w:rsid w:val="00E9604C"/>
    <w:rsid w:val="00E97489"/>
    <w:rsid w:val="00E97A1D"/>
    <w:rsid w:val="00EB1B4D"/>
    <w:rsid w:val="00EB2D27"/>
    <w:rsid w:val="00EB4C42"/>
    <w:rsid w:val="00EB70FC"/>
    <w:rsid w:val="00EC527A"/>
    <w:rsid w:val="00ED7205"/>
    <w:rsid w:val="00ED778C"/>
    <w:rsid w:val="00EE3AEA"/>
    <w:rsid w:val="00EE5BA1"/>
    <w:rsid w:val="00EE6624"/>
    <w:rsid w:val="00EF3E18"/>
    <w:rsid w:val="00EF46B4"/>
    <w:rsid w:val="00F01164"/>
    <w:rsid w:val="00F131F0"/>
    <w:rsid w:val="00F2560E"/>
    <w:rsid w:val="00F35B5E"/>
    <w:rsid w:val="00F36F9A"/>
    <w:rsid w:val="00F37454"/>
    <w:rsid w:val="00F37F3C"/>
    <w:rsid w:val="00F42FC0"/>
    <w:rsid w:val="00F45D60"/>
    <w:rsid w:val="00F52CD4"/>
    <w:rsid w:val="00F600ED"/>
    <w:rsid w:val="00F61BD1"/>
    <w:rsid w:val="00F65872"/>
    <w:rsid w:val="00F801F3"/>
    <w:rsid w:val="00F86355"/>
    <w:rsid w:val="00F96BC9"/>
    <w:rsid w:val="00FD2890"/>
    <w:rsid w:val="00FD57F6"/>
    <w:rsid w:val="00FE2395"/>
    <w:rsid w:val="00FE38C3"/>
    <w:rsid w:val="00FF2B7F"/>
    <w:rsid w:val="00FF4E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HTML Acronym" w:uiPriority="0"/>
    <w:lsdException w:name="HTML Cite" w:uiPriority="0"/>
    <w:lsdException w:name="HTML Code" w:uiPriority="0"/>
    <w:lsdException w:name="HTML Preformatted" w:uiPriority="0"/>
    <w:lsdException w:name="HTML Typewriter"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33F"/>
    <w:pPr>
      <w:spacing w:after="200" w:line="276" w:lineRule="auto"/>
    </w:pPr>
  </w:style>
  <w:style w:type="paragraph" w:styleId="Ttulo1">
    <w:name w:val="heading 1"/>
    <w:basedOn w:val="Normal"/>
    <w:next w:val="Normal"/>
    <w:link w:val="Ttulo1Car"/>
    <w:qFormat/>
    <w:rsid w:val="000C533F"/>
    <w:pPr>
      <w:keepNext/>
      <w:spacing w:before="240" w:after="60" w:line="240" w:lineRule="auto"/>
      <w:outlineLvl w:val="0"/>
    </w:pPr>
    <w:rPr>
      <w:rFonts w:ascii="Cambria" w:eastAsia="Times New Roman" w:hAnsi="Cambria" w:cs="Times New Roman"/>
      <w:b/>
      <w:bCs/>
      <w:kern w:val="32"/>
      <w:sz w:val="32"/>
      <w:szCs w:val="32"/>
      <w:lang w:eastAsia="es-ES"/>
    </w:rPr>
  </w:style>
  <w:style w:type="paragraph" w:styleId="Ttulo2">
    <w:name w:val="heading 2"/>
    <w:basedOn w:val="Normal"/>
    <w:next w:val="Normal"/>
    <w:link w:val="Ttulo2Car"/>
    <w:qFormat/>
    <w:rsid w:val="000C533F"/>
    <w:pPr>
      <w:keepNext/>
      <w:spacing w:before="240" w:after="60" w:line="240" w:lineRule="auto"/>
      <w:outlineLvl w:val="1"/>
    </w:pPr>
    <w:rPr>
      <w:rFonts w:ascii="Times New Roman" w:eastAsia="Times New Roman" w:hAnsi="Times New Roman" w:cs="Times New Roman"/>
      <w:sz w:val="20"/>
      <w:szCs w:val="20"/>
      <w:lang w:eastAsia="es-ES"/>
    </w:rPr>
  </w:style>
  <w:style w:type="paragraph" w:styleId="Ttulo3">
    <w:name w:val="heading 3"/>
    <w:basedOn w:val="Normal"/>
    <w:next w:val="Normal"/>
    <w:link w:val="Ttulo3Car"/>
    <w:qFormat/>
    <w:rsid w:val="000C533F"/>
    <w:pPr>
      <w:keepNext/>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0C533F"/>
    <w:pPr>
      <w:keepNext/>
      <w:spacing w:before="240" w:after="60" w:line="240" w:lineRule="auto"/>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0C533F"/>
    <w:pPr>
      <w:spacing w:before="240" w:after="60" w:line="240" w:lineRule="auto"/>
      <w:outlineLvl w:val="4"/>
    </w:pPr>
    <w:rPr>
      <w:rFonts w:ascii="Times New Roman" w:eastAsia="Calibri"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C533F"/>
    <w:rPr>
      <w:rFonts w:ascii="Cambria" w:eastAsia="Times New Roman" w:hAnsi="Cambria" w:cs="Times New Roman"/>
      <w:b/>
      <w:bCs/>
      <w:kern w:val="32"/>
      <w:sz w:val="32"/>
      <w:szCs w:val="32"/>
      <w:lang w:eastAsia="es-ES"/>
    </w:rPr>
  </w:style>
  <w:style w:type="character" w:customStyle="1" w:styleId="Ttulo2Car">
    <w:name w:val="Título 2 Car"/>
    <w:basedOn w:val="Fuentedeprrafopredeter"/>
    <w:link w:val="Ttulo2"/>
    <w:rsid w:val="000C533F"/>
    <w:rPr>
      <w:rFonts w:ascii="Times New Roman" w:eastAsia="Times New Roman" w:hAnsi="Times New Roman" w:cs="Times New Roman"/>
      <w:sz w:val="20"/>
      <w:szCs w:val="20"/>
      <w:lang w:eastAsia="es-ES"/>
    </w:rPr>
  </w:style>
  <w:style w:type="character" w:customStyle="1" w:styleId="Ttulo3Car">
    <w:name w:val="Título 3 Car"/>
    <w:basedOn w:val="Fuentedeprrafopredeter"/>
    <w:link w:val="Ttulo3"/>
    <w:rsid w:val="000C533F"/>
    <w:rPr>
      <w:rFonts w:ascii="Arial" w:eastAsia="Times New Roman" w:hAnsi="Arial" w:cs="Arial"/>
      <w:b/>
      <w:bCs/>
      <w:sz w:val="26"/>
      <w:szCs w:val="26"/>
      <w:lang w:eastAsia="es-ES"/>
    </w:rPr>
  </w:style>
  <w:style w:type="character" w:customStyle="1" w:styleId="Ttulo4Car">
    <w:name w:val="Título 4 Car"/>
    <w:basedOn w:val="Fuentedeprrafopredeter"/>
    <w:link w:val="Ttulo4"/>
    <w:rsid w:val="000C533F"/>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0C533F"/>
    <w:rPr>
      <w:rFonts w:ascii="Times New Roman" w:eastAsia="Calibri" w:hAnsi="Times New Roman" w:cs="Times New Roman"/>
      <w:b/>
      <w:bCs/>
      <w:i/>
      <w:iCs/>
      <w:sz w:val="26"/>
      <w:szCs w:val="26"/>
      <w:lang w:eastAsia="es-ES"/>
    </w:rPr>
  </w:style>
  <w:style w:type="paragraph" w:styleId="Piedepgina">
    <w:name w:val="footer"/>
    <w:basedOn w:val="Normal"/>
    <w:link w:val="PiedepginaCar"/>
    <w:uiPriority w:val="99"/>
    <w:rsid w:val="000C533F"/>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0C533F"/>
    <w:rPr>
      <w:rFonts w:ascii="Times New Roman" w:eastAsia="Times New Roman" w:hAnsi="Times New Roman" w:cs="Times New Roman"/>
      <w:sz w:val="24"/>
      <w:szCs w:val="24"/>
      <w:lang w:eastAsia="es-ES"/>
    </w:rPr>
  </w:style>
  <w:style w:type="paragraph" w:styleId="Textonotapie">
    <w:name w:val="footnote text"/>
    <w:basedOn w:val="Normal"/>
    <w:link w:val="TextonotapieCar"/>
    <w:semiHidden/>
    <w:rsid w:val="000C533F"/>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semiHidden/>
    <w:rsid w:val="000C533F"/>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0C533F"/>
    <w:rPr>
      <w:vertAlign w:val="superscript"/>
    </w:rPr>
  </w:style>
  <w:style w:type="character" w:styleId="Hipervnculo">
    <w:name w:val="Hyperlink"/>
    <w:basedOn w:val="Fuentedeprrafopredeter"/>
    <w:rsid w:val="000C533F"/>
    <w:rPr>
      <w:color w:val="0000FF"/>
      <w:u w:val="single"/>
    </w:rPr>
  </w:style>
  <w:style w:type="character" w:styleId="nfasis">
    <w:name w:val="Emphasis"/>
    <w:basedOn w:val="Fuentedeprrafopredeter"/>
    <w:uiPriority w:val="20"/>
    <w:qFormat/>
    <w:rsid w:val="000C533F"/>
    <w:rPr>
      <w:i/>
      <w:iCs/>
    </w:rPr>
  </w:style>
  <w:style w:type="character" w:customStyle="1" w:styleId="apple-converted-space">
    <w:name w:val="apple-converted-space"/>
    <w:basedOn w:val="Fuentedeprrafopredeter"/>
    <w:rsid w:val="000C533F"/>
  </w:style>
  <w:style w:type="paragraph" w:styleId="NormalWeb">
    <w:name w:val="Normal (Web)"/>
    <w:basedOn w:val="Normal"/>
    <w:uiPriority w:val="99"/>
    <w:unhideWhenUsed/>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qFormat/>
    <w:rsid w:val="000C533F"/>
    <w:pPr>
      <w:spacing w:after="0" w:line="240" w:lineRule="auto"/>
      <w:ind w:left="720"/>
      <w:contextualSpacing/>
    </w:pPr>
    <w:rPr>
      <w:rFonts w:ascii="Times New Roman" w:eastAsia="Times New Roman" w:hAnsi="Times New Roman" w:cs="Times New Roman"/>
      <w:sz w:val="24"/>
      <w:szCs w:val="24"/>
      <w:lang w:eastAsia="es-ES"/>
    </w:rPr>
  </w:style>
  <w:style w:type="table" w:styleId="Tablaconcuadrcula">
    <w:name w:val="Table Grid"/>
    <w:basedOn w:val="Tablanormal"/>
    <w:rsid w:val="000C53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0C533F"/>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0C533F"/>
    <w:rPr>
      <w:rFonts w:ascii="Times New Roman" w:eastAsia="Times New Roman" w:hAnsi="Times New Roman" w:cs="Times New Roman"/>
      <w:sz w:val="24"/>
      <w:szCs w:val="24"/>
      <w:lang w:eastAsia="es-ES"/>
    </w:rPr>
  </w:style>
  <w:style w:type="character" w:styleId="Nmerodepgina">
    <w:name w:val="page number"/>
    <w:basedOn w:val="Fuentedeprrafopredeter"/>
    <w:rsid w:val="000C533F"/>
  </w:style>
  <w:style w:type="character" w:customStyle="1" w:styleId="grame">
    <w:name w:val="grame"/>
    <w:basedOn w:val="Fuentedeprrafopredeter"/>
    <w:rsid w:val="000C533F"/>
  </w:style>
  <w:style w:type="character" w:styleId="MquinadeescribirHTML">
    <w:name w:val="HTML Typewriter"/>
    <w:basedOn w:val="Fuentedeprrafopredeter"/>
    <w:unhideWhenUsed/>
    <w:rsid w:val="000C533F"/>
    <w:rPr>
      <w:rFonts w:ascii="Courier New" w:eastAsia="Times New Roman" w:hAnsi="Courier New" w:cs="Courier New"/>
      <w:sz w:val="20"/>
      <w:szCs w:val="20"/>
    </w:rPr>
  </w:style>
  <w:style w:type="paragraph" w:styleId="Textocomentario">
    <w:name w:val="annotation text"/>
    <w:basedOn w:val="Normal"/>
    <w:link w:val="TextocomentarioCar"/>
    <w:semiHidden/>
    <w:rsid w:val="000C533F"/>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semiHidden/>
    <w:rsid w:val="000C533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0C533F"/>
    <w:rPr>
      <w:b/>
      <w:bCs/>
    </w:rPr>
  </w:style>
  <w:style w:type="character" w:customStyle="1" w:styleId="AsuntodelcomentarioCar">
    <w:name w:val="Asunto del comentario Car"/>
    <w:basedOn w:val="TextocomentarioCar"/>
    <w:link w:val="Asuntodelcomentario"/>
    <w:semiHidden/>
    <w:rsid w:val="000C533F"/>
    <w:rPr>
      <w:rFonts w:ascii="Times New Roman" w:eastAsia="Times New Roman" w:hAnsi="Times New Roman" w:cs="Times New Roman"/>
      <w:b/>
      <w:bCs/>
      <w:sz w:val="20"/>
      <w:szCs w:val="20"/>
      <w:lang w:eastAsia="es-ES"/>
    </w:rPr>
  </w:style>
  <w:style w:type="paragraph" w:styleId="Textodeglobo">
    <w:name w:val="Balloon Text"/>
    <w:basedOn w:val="Normal"/>
    <w:link w:val="TextodegloboCar"/>
    <w:semiHidden/>
    <w:rsid w:val="000C533F"/>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semiHidden/>
    <w:rsid w:val="000C533F"/>
    <w:rPr>
      <w:rFonts w:ascii="Tahoma" w:eastAsia="Times New Roman" w:hAnsi="Tahoma" w:cs="Times New Roman"/>
      <w:sz w:val="16"/>
      <w:szCs w:val="16"/>
      <w:lang w:eastAsia="es-ES"/>
    </w:rPr>
  </w:style>
  <w:style w:type="character" w:styleId="Textoennegrita">
    <w:name w:val="Strong"/>
    <w:basedOn w:val="Fuentedeprrafopredeter"/>
    <w:uiPriority w:val="22"/>
    <w:qFormat/>
    <w:rsid w:val="000C533F"/>
    <w:rPr>
      <w:b/>
      <w:bCs/>
      <w:i w:val="0"/>
      <w:iCs w:val="0"/>
    </w:rPr>
  </w:style>
  <w:style w:type="character" w:styleId="Hipervnculovisitado">
    <w:name w:val="FollowedHyperlink"/>
    <w:basedOn w:val="Fuentedeprrafopredeter"/>
    <w:rsid w:val="000C533F"/>
    <w:rPr>
      <w:color w:val="800080"/>
      <w:u w:val="single"/>
    </w:rPr>
  </w:style>
  <w:style w:type="character" w:customStyle="1" w:styleId="CarCar5">
    <w:name w:val="Car Car5"/>
    <w:basedOn w:val="Fuentedeprrafopredeter"/>
    <w:rsid w:val="000C533F"/>
    <w:rPr>
      <w:rFonts w:ascii="Cambria" w:eastAsia="Times New Roman" w:hAnsi="Cambria" w:cs="Times New Roman"/>
      <w:b/>
      <w:bCs/>
      <w:kern w:val="32"/>
      <w:sz w:val="32"/>
      <w:szCs w:val="32"/>
    </w:rPr>
  </w:style>
  <w:style w:type="character" w:customStyle="1" w:styleId="skypepnhtextspan">
    <w:name w:val="skype_pnh_text_span"/>
    <w:basedOn w:val="Fuentedeprrafopredeter"/>
    <w:rsid w:val="000C533F"/>
  </w:style>
  <w:style w:type="character" w:customStyle="1" w:styleId="skypepnhrightspan">
    <w:name w:val="skype_pnh_right_span"/>
    <w:basedOn w:val="Fuentedeprrafopredeter"/>
    <w:rsid w:val="000C533F"/>
  </w:style>
  <w:style w:type="paragraph" w:customStyle="1" w:styleId="coeheading1">
    <w:name w:val="coe_heading1"/>
    <w:basedOn w:val="Normal"/>
    <w:rsid w:val="000C533F"/>
    <w:pPr>
      <w:spacing w:before="100" w:beforeAutospacing="1" w:after="100" w:afterAutospacing="1" w:line="240" w:lineRule="auto"/>
    </w:pPr>
    <w:rPr>
      <w:rFonts w:ascii="Times New Roman" w:eastAsia="Calibri" w:hAnsi="Times New Roman" w:cs="Times New Roman"/>
      <w:sz w:val="24"/>
      <w:szCs w:val="24"/>
      <w:lang w:eastAsia="es-ES"/>
    </w:rPr>
  </w:style>
  <w:style w:type="character" w:customStyle="1" w:styleId="corchete-llamada1">
    <w:name w:val="corchete-llamada1"/>
    <w:basedOn w:val="Fuentedeprrafopredeter"/>
    <w:rsid w:val="000C533F"/>
    <w:rPr>
      <w:vanish/>
      <w:webHidden w:val="0"/>
      <w:specVanish w:val="0"/>
    </w:rPr>
  </w:style>
  <w:style w:type="character" w:customStyle="1" w:styleId="bodytext1">
    <w:name w:val="bodytext1"/>
    <w:basedOn w:val="Fuentedeprrafopredeter"/>
    <w:rsid w:val="000C533F"/>
  </w:style>
  <w:style w:type="paragraph" w:styleId="Encabezado">
    <w:name w:val="header"/>
    <w:basedOn w:val="Normal"/>
    <w:link w:val="EncabezadoCar"/>
    <w:rsid w:val="000C533F"/>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0C533F"/>
    <w:rPr>
      <w:rFonts w:ascii="Times New Roman" w:eastAsia="Times New Roman" w:hAnsi="Times New Roman" w:cs="Times New Roman"/>
      <w:sz w:val="24"/>
      <w:szCs w:val="24"/>
      <w:lang w:eastAsia="es-ES"/>
    </w:rPr>
  </w:style>
  <w:style w:type="paragraph" w:customStyle="1" w:styleId="chapo">
    <w:name w:val="chapo"/>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pip">
    <w:name w:val="spip"/>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31">
    <w:name w:val="Body Text 31"/>
    <w:basedOn w:val="Normal"/>
    <w:rsid w:val="000C533F"/>
    <w:pPr>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GB" w:eastAsia="fr-FR"/>
    </w:rPr>
  </w:style>
  <w:style w:type="paragraph" w:styleId="Textoindependiente3">
    <w:name w:val="Body Text 3"/>
    <w:basedOn w:val="Normal"/>
    <w:link w:val="Textoindependiente3Car"/>
    <w:rsid w:val="000C533F"/>
    <w:pPr>
      <w:autoSpaceDE w:val="0"/>
      <w:autoSpaceDN w:val="0"/>
      <w:adjustRightInd w:val="0"/>
      <w:spacing w:after="0" w:line="240" w:lineRule="auto"/>
      <w:jc w:val="both"/>
    </w:pPr>
    <w:rPr>
      <w:rFonts w:ascii="Arial" w:eastAsia="Times New Roman" w:hAnsi="Arial" w:cs="Times New Roman"/>
      <w:b/>
      <w:sz w:val="20"/>
      <w:szCs w:val="24"/>
      <w:lang w:val="fr-FR"/>
    </w:rPr>
  </w:style>
  <w:style w:type="character" w:customStyle="1" w:styleId="Textoindependiente3Car">
    <w:name w:val="Texto independiente 3 Car"/>
    <w:basedOn w:val="Fuentedeprrafopredeter"/>
    <w:link w:val="Textoindependiente3"/>
    <w:rsid w:val="000C533F"/>
    <w:rPr>
      <w:rFonts w:ascii="Arial" w:eastAsia="Times New Roman" w:hAnsi="Arial" w:cs="Times New Roman"/>
      <w:b/>
      <w:sz w:val="20"/>
      <w:szCs w:val="24"/>
      <w:lang w:val="fr-FR"/>
    </w:rPr>
  </w:style>
  <w:style w:type="paragraph" w:customStyle="1" w:styleId="Default">
    <w:name w:val="Default"/>
    <w:rsid w:val="000C533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Pa3">
    <w:name w:val="Pa3"/>
    <w:basedOn w:val="Default"/>
    <w:next w:val="Default"/>
    <w:rsid w:val="000C533F"/>
    <w:pPr>
      <w:spacing w:line="191" w:lineRule="atLeast"/>
    </w:pPr>
    <w:rPr>
      <w:color w:val="auto"/>
    </w:rPr>
  </w:style>
  <w:style w:type="paragraph" w:customStyle="1" w:styleId="Pa4">
    <w:name w:val="Pa4"/>
    <w:basedOn w:val="Default"/>
    <w:next w:val="Default"/>
    <w:rsid w:val="000C533F"/>
    <w:pPr>
      <w:spacing w:line="191" w:lineRule="atLeast"/>
    </w:pPr>
    <w:rPr>
      <w:color w:val="auto"/>
    </w:rPr>
  </w:style>
  <w:style w:type="character" w:customStyle="1" w:styleId="CarCar6">
    <w:name w:val="Car Car6"/>
    <w:basedOn w:val="Fuentedeprrafopredeter"/>
    <w:rsid w:val="000C533F"/>
    <w:rPr>
      <w:b/>
      <w:bCs/>
      <w:sz w:val="27"/>
      <w:szCs w:val="27"/>
      <w:lang w:val="es-ES" w:eastAsia="es-ES" w:bidi="ar-SA"/>
    </w:rPr>
  </w:style>
  <w:style w:type="character" w:styleId="CdigoHTML">
    <w:name w:val="HTML Code"/>
    <w:basedOn w:val="Fuentedeprrafopredeter"/>
    <w:rsid w:val="000C533F"/>
    <w:rPr>
      <w:rFonts w:ascii="Courier New" w:hAnsi="Courier New" w:cs="Courier New"/>
      <w:sz w:val="20"/>
      <w:szCs w:val="20"/>
    </w:rPr>
  </w:style>
  <w:style w:type="character" w:customStyle="1" w:styleId="corchete-llamada">
    <w:name w:val="corchete-llamada"/>
    <w:basedOn w:val="Fuentedeprrafopredeter"/>
    <w:rsid w:val="000C533F"/>
    <w:rPr>
      <w:rFonts w:cs="Times New Roman"/>
    </w:rPr>
  </w:style>
  <w:style w:type="character" w:customStyle="1" w:styleId="mw-headline">
    <w:name w:val="mw-headline"/>
    <w:basedOn w:val="Fuentedeprrafopredeter"/>
    <w:rsid w:val="000C533F"/>
    <w:rPr>
      <w:rFonts w:cs="Times New Roman"/>
    </w:rPr>
  </w:style>
  <w:style w:type="character" w:customStyle="1" w:styleId="editsection">
    <w:name w:val="editsection"/>
    <w:basedOn w:val="Fuentedeprrafopredeter"/>
    <w:rsid w:val="000C533F"/>
    <w:rPr>
      <w:rFonts w:cs="Times New Roman"/>
    </w:rPr>
  </w:style>
  <w:style w:type="character" w:customStyle="1" w:styleId="blsp-spelling-error">
    <w:name w:val="blsp-spelling-error"/>
    <w:basedOn w:val="Fuentedeprrafopredeter"/>
    <w:rsid w:val="000C533F"/>
    <w:rPr>
      <w:rFonts w:cs="Times New Roman"/>
    </w:rPr>
  </w:style>
  <w:style w:type="character" w:customStyle="1" w:styleId="titppal">
    <w:name w:val="titppal"/>
    <w:basedOn w:val="Fuentedeprrafopredeter"/>
    <w:rsid w:val="000C533F"/>
  </w:style>
  <w:style w:type="paragraph" w:customStyle="1" w:styleId="Prrafodelista1">
    <w:name w:val="Párrafo de lista1"/>
    <w:basedOn w:val="Normal"/>
    <w:qFormat/>
    <w:rsid w:val="000C533F"/>
    <w:pPr>
      <w:spacing w:after="0" w:line="240" w:lineRule="auto"/>
      <w:ind w:left="708"/>
    </w:pPr>
    <w:rPr>
      <w:rFonts w:ascii="Times New Roman" w:eastAsia="Times New Roman" w:hAnsi="Times New Roman" w:cs="Times New Roman"/>
      <w:sz w:val="24"/>
      <w:szCs w:val="24"/>
      <w:lang w:eastAsia="es-ES"/>
    </w:rPr>
  </w:style>
  <w:style w:type="paragraph" w:customStyle="1" w:styleId="bodytext">
    <w:name w:val="bodytext"/>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0C533F"/>
    <w:pPr>
      <w:widowControl w:val="0"/>
      <w:autoSpaceDE w:val="0"/>
      <w:autoSpaceDN w:val="0"/>
      <w:adjustRightInd w:val="0"/>
      <w:spacing w:after="0" w:line="360" w:lineRule="auto"/>
      <w:ind w:firstLine="708"/>
      <w:jc w:val="both"/>
    </w:pPr>
    <w:rPr>
      <w:rFonts w:ascii="Garamond" w:eastAsia="Times New Roman" w:hAnsi="Garamond" w:cs="Times New Roman"/>
      <w:sz w:val="24"/>
      <w:szCs w:val="24"/>
      <w:lang w:eastAsia="es-ES"/>
    </w:rPr>
  </w:style>
  <w:style w:type="character" w:customStyle="1" w:styleId="SangradetextonormalCar">
    <w:name w:val="Sangría de texto normal Car"/>
    <w:basedOn w:val="Fuentedeprrafopredeter"/>
    <w:link w:val="Sangradetextonormal"/>
    <w:rsid w:val="000C533F"/>
    <w:rPr>
      <w:rFonts w:ascii="Garamond" w:eastAsia="Times New Roman" w:hAnsi="Garamond" w:cs="Times New Roman"/>
      <w:sz w:val="24"/>
      <w:szCs w:val="24"/>
      <w:lang w:eastAsia="es-ES"/>
    </w:rPr>
  </w:style>
  <w:style w:type="paragraph" w:styleId="HTMLconformatoprevio">
    <w:name w:val="HTML Preformatted"/>
    <w:basedOn w:val="Normal"/>
    <w:link w:val="HTMLconformatoprevioCar"/>
    <w:rsid w:val="000C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0C533F"/>
    <w:rPr>
      <w:rFonts w:ascii="Courier New" w:eastAsia="Times New Roman" w:hAnsi="Courier New" w:cs="Courier New"/>
      <w:sz w:val="20"/>
      <w:szCs w:val="20"/>
      <w:lang w:eastAsia="es-ES"/>
    </w:rPr>
  </w:style>
  <w:style w:type="character" w:customStyle="1" w:styleId="nolink">
    <w:name w:val="nolink"/>
    <w:basedOn w:val="Fuentedeprrafopredeter"/>
    <w:rsid w:val="000C533F"/>
  </w:style>
  <w:style w:type="paragraph" w:customStyle="1" w:styleId="Pa8">
    <w:name w:val="Pa8"/>
    <w:basedOn w:val="Normal"/>
    <w:next w:val="Normal"/>
    <w:rsid w:val="000C533F"/>
    <w:pPr>
      <w:autoSpaceDE w:val="0"/>
      <w:autoSpaceDN w:val="0"/>
      <w:adjustRightInd w:val="0"/>
      <w:spacing w:after="0" w:line="221" w:lineRule="atLeast"/>
    </w:pPr>
    <w:rPr>
      <w:rFonts w:ascii="Adobe Garamond Pro" w:eastAsia="Times New Roman" w:hAnsi="Adobe Garamond Pro" w:cs="Times New Roman"/>
      <w:sz w:val="24"/>
      <w:szCs w:val="24"/>
      <w:lang w:eastAsia="es-ES"/>
    </w:rPr>
  </w:style>
  <w:style w:type="character" w:customStyle="1" w:styleId="A9">
    <w:name w:val="A9"/>
    <w:rsid w:val="000C533F"/>
    <w:rPr>
      <w:rFonts w:cs="Adobe Garamond Pro"/>
      <w:color w:val="000000"/>
      <w:sz w:val="12"/>
      <w:szCs w:val="12"/>
    </w:rPr>
  </w:style>
  <w:style w:type="character" w:styleId="CitaHTML">
    <w:name w:val="HTML Cite"/>
    <w:basedOn w:val="Fuentedeprrafopredeter"/>
    <w:rsid w:val="000C533F"/>
    <w:rPr>
      <w:i/>
      <w:iCs/>
    </w:rPr>
  </w:style>
  <w:style w:type="character" w:customStyle="1" w:styleId="FootnoteTextChar1">
    <w:name w:val="Footnote Text Char1"/>
    <w:basedOn w:val="Fuentedeprrafopredeter"/>
    <w:semiHidden/>
    <w:locked/>
    <w:rsid w:val="000C533F"/>
    <w:rPr>
      <w:rFonts w:cs="Times New Roman"/>
      <w:lang w:val="es-ES" w:eastAsia="es-ES" w:bidi="ar-SA"/>
    </w:rPr>
  </w:style>
  <w:style w:type="character" w:styleId="AcrnimoHTML">
    <w:name w:val="HTML Acronym"/>
    <w:basedOn w:val="Fuentedeprrafopredeter"/>
    <w:rsid w:val="000C533F"/>
    <w:rPr>
      <w:rFonts w:cs="Times New Roman"/>
    </w:rPr>
  </w:style>
  <w:style w:type="character" w:customStyle="1" w:styleId="Heading2Char">
    <w:name w:val="Heading 2 Char"/>
    <w:basedOn w:val="Fuentedeprrafopredeter"/>
    <w:locked/>
    <w:rsid w:val="000C533F"/>
    <w:rPr>
      <w:rFonts w:ascii="Times New Roman" w:hAnsi="Times New Roman" w:cs="Times New Roman"/>
      <w:sz w:val="20"/>
      <w:szCs w:val="20"/>
      <w:lang w:eastAsia="es-ES"/>
    </w:rPr>
  </w:style>
  <w:style w:type="paragraph" w:customStyle="1" w:styleId="bibliografa">
    <w:name w:val="bibliografa"/>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30eec3f8">
    <w:name w:val="s30eec3f8"/>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b8d990e2">
    <w:name w:val="sb8d990e2"/>
    <w:basedOn w:val="Fuentedeprrafopredeter"/>
    <w:rsid w:val="000C533F"/>
  </w:style>
  <w:style w:type="character" w:customStyle="1" w:styleId="s6b621b36">
    <w:name w:val="s6b621b36"/>
    <w:basedOn w:val="Fuentedeprrafopredeter"/>
    <w:rsid w:val="000C533F"/>
  </w:style>
  <w:style w:type="paragraph" w:styleId="DireccinHTML">
    <w:name w:val="HTML Address"/>
    <w:basedOn w:val="Normal"/>
    <w:link w:val="DireccinHTMLCar"/>
    <w:uiPriority w:val="99"/>
    <w:semiHidden/>
    <w:unhideWhenUsed/>
    <w:rsid w:val="000C533F"/>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semiHidden/>
    <w:rsid w:val="000C533F"/>
    <w:rPr>
      <w:rFonts w:ascii="Times New Roman" w:eastAsia="Times New Roman" w:hAnsi="Times New Roman" w:cs="Times New Roman"/>
      <w:i/>
      <w:iCs/>
      <w:sz w:val="24"/>
      <w:szCs w:val="24"/>
      <w:lang w:eastAsia="es-ES"/>
    </w:rPr>
  </w:style>
  <w:style w:type="character" w:customStyle="1" w:styleId="author">
    <w:name w:val="author"/>
    <w:basedOn w:val="Fuentedeprrafopredeter"/>
    <w:rsid w:val="000C533F"/>
  </w:style>
  <w:style w:type="character" w:customStyle="1" w:styleId="meta-date-url">
    <w:name w:val="meta-date-url"/>
    <w:basedOn w:val="Fuentedeprrafopredeter"/>
    <w:rsid w:val="000C533F"/>
  </w:style>
  <w:style w:type="character" w:customStyle="1" w:styleId="entry-date">
    <w:name w:val="entry-date"/>
    <w:basedOn w:val="Fuentedeprrafopredeter"/>
    <w:rsid w:val="000C533F"/>
  </w:style>
  <w:style w:type="paragraph" w:styleId="Listaconvietas">
    <w:name w:val="List Bullet"/>
    <w:basedOn w:val="Normal"/>
    <w:uiPriority w:val="99"/>
    <w:unhideWhenUsed/>
    <w:rsid w:val="000C533F"/>
    <w:pPr>
      <w:numPr>
        <w:numId w:val="7"/>
      </w:numPr>
      <w:contextualSpacing/>
    </w:pPr>
  </w:style>
  <w:style w:type="paragraph" w:customStyle="1" w:styleId="parrafo">
    <w:name w:val="parrafo"/>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
    <w:name w:val="a"/>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ingleTxtG">
    <w:name w:val="_ Single Txt_G"/>
    <w:basedOn w:val="Normal"/>
    <w:rsid w:val="000C533F"/>
    <w:pPr>
      <w:spacing w:after="120" w:line="240" w:lineRule="atLeast"/>
      <w:ind w:left="1134" w:right="1134"/>
      <w:jc w:val="both"/>
    </w:pPr>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0246AC"/>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HTML Acronym" w:uiPriority="0"/>
    <w:lsdException w:name="HTML Cite" w:uiPriority="0"/>
    <w:lsdException w:name="HTML Code" w:uiPriority="0"/>
    <w:lsdException w:name="HTML Preformatted" w:uiPriority="0"/>
    <w:lsdException w:name="HTML Typewriter"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33F"/>
    <w:pPr>
      <w:spacing w:after="200" w:line="276" w:lineRule="auto"/>
    </w:pPr>
  </w:style>
  <w:style w:type="paragraph" w:styleId="Ttulo1">
    <w:name w:val="heading 1"/>
    <w:basedOn w:val="Normal"/>
    <w:next w:val="Normal"/>
    <w:link w:val="Ttulo1Car"/>
    <w:qFormat/>
    <w:rsid w:val="000C533F"/>
    <w:pPr>
      <w:keepNext/>
      <w:spacing w:before="240" w:after="60" w:line="240" w:lineRule="auto"/>
      <w:outlineLvl w:val="0"/>
    </w:pPr>
    <w:rPr>
      <w:rFonts w:ascii="Cambria" w:eastAsia="Times New Roman" w:hAnsi="Cambria" w:cs="Times New Roman"/>
      <w:b/>
      <w:bCs/>
      <w:kern w:val="32"/>
      <w:sz w:val="32"/>
      <w:szCs w:val="32"/>
      <w:lang w:eastAsia="es-ES"/>
    </w:rPr>
  </w:style>
  <w:style w:type="paragraph" w:styleId="Ttulo2">
    <w:name w:val="heading 2"/>
    <w:basedOn w:val="Normal"/>
    <w:next w:val="Normal"/>
    <w:link w:val="Ttulo2Car"/>
    <w:qFormat/>
    <w:rsid w:val="000C533F"/>
    <w:pPr>
      <w:keepNext/>
      <w:spacing w:before="240" w:after="60" w:line="240" w:lineRule="auto"/>
      <w:outlineLvl w:val="1"/>
    </w:pPr>
    <w:rPr>
      <w:rFonts w:ascii="Times New Roman" w:eastAsia="Times New Roman" w:hAnsi="Times New Roman" w:cs="Times New Roman"/>
      <w:sz w:val="20"/>
      <w:szCs w:val="20"/>
      <w:lang w:eastAsia="es-ES"/>
    </w:rPr>
  </w:style>
  <w:style w:type="paragraph" w:styleId="Ttulo3">
    <w:name w:val="heading 3"/>
    <w:basedOn w:val="Normal"/>
    <w:next w:val="Normal"/>
    <w:link w:val="Ttulo3Car"/>
    <w:qFormat/>
    <w:rsid w:val="000C533F"/>
    <w:pPr>
      <w:keepNext/>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0C533F"/>
    <w:pPr>
      <w:keepNext/>
      <w:spacing w:before="240" w:after="60" w:line="240" w:lineRule="auto"/>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0C533F"/>
    <w:pPr>
      <w:spacing w:before="240" w:after="60" w:line="240" w:lineRule="auto"/>
      <w:outlineLvl w:val="4"/>
    </w:pPr>
    <w:rPr>
      <w:rFonts w:ascii="Times New Roman" w:eastAsia="Calibri"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C533F"/>
    <w:rPr>
      <w:rFonts w:ascii="Cambria" w:eastAsia="Times New Roman" w:hAnsi="Cambria" w:cs="Times New Roman"/>
      <w:b/>
      <w:bCs/>
      <w:kern w:val="32"/>
      <w:sz w:val="32"/>
      <w:szCs w:val="32"/>
      <w:lang w:eastAsia="es-ES"/>
    </w:rPr>
  </w:style>
  <w:style w:type="character" w:customStyle="1" w:styleId="Ttulo2Car">
    <w:name w:val="Título 2 Car"/>
    <w:basedOn w:val="Fuentedeprrafopredeter"/>
    <w:link w:val="Ttulo2"/>
    <w:rsid w:val="000C533F"/>
    <w:rPr>
      <w:rFonts w:ascii="Times New Roman" w:eastAsia="Times New Roman" w:hAnsi="Times New Roman" w:cs="Times New Roman"/>
      <w:sz w:val="20"/>
      <w:szCs w:val="20"/>
      <w:lang w:eastAsia="es-ES"/>
    </w:rPr>
  </w:style>
  <w:style w:type="character" w:customStyle="1" w:styleId="Ttulo3Car">
    <w:name w:val="Título 3 Car"/>
    <w:basedOn w:val="Fuentedeprrafopredeter"/>
    <w:link w:val="Ttulo3"/>
    <w:rsid w:val="000C533F"/>
    <w:rPr>
      <w:rFonts w:ascii="Arial" w:eastAsia="Times New Roman" w:hAnsi="Arial" w:cs="Arial"/>
      <w:b/>
      <w:bCs/>
      <w:sz w:val="26"/>
      <w:szCs w:val="26"/>
      <w:lang w:eastAsia="es-ES"/>
    </w:rPr>
  </w:style>
  <w:style w:type="character" w:customStyle="1" w:styleId="Ttulo4Car">
    <w:name w:val="Título 4 Car"/>
    <w:basedOn w:val="Fuentedeprrafopredeter"/>
    <w:link w:val="Ttulo4"/>
    <w:rsid w:val="000C533F"/>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0C533F"/>
    <w:rPr>
      <w:rFonts w:ascii="Times New Roman" w:eastAsia="Calibri" w:hAnsi="Times New Roman" w:cs="Times New Roman"/>
      <w:b/>
      <w:bCs/>
      <w:i/>
      <w:iCs/>
      <w:sz w:val="26"/>
      <w:szCs w:val="26"/>
      <w:lang w:eastAsia="es-ES"/>
    </w:rPr>
  </w:style>
  <w:style w:type="paragraph" w:styleId="Piedepgina">
    <w:name w:val="footer"/>
    <w:basedOn w:val="Normal"/>
    <w:link w:val="PiedepginaCar"/>
    <w:uiPriority w:val="99"/>
    <w:rsid w:val="000C533F"/>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0C533F"/>
    <w:rPr>
      <w:rFonts w:ascii="Times New Roman" w:eastAsia="Times New Roman" w:hAnsi="Times New Roman" w:cs="Times New Roman"/>
      <w:sz w:val="24"/>
      <w:szCs w:val="24"/>
      <w:lang w:eastAsia="es-ES"/>
    </w:rPr>
  </w:style>
  <w:style w:type="paragraph" w:styleId="Textonotapie">
    <w:name w:val="footnote text"/>
    <w:basedOn w:val="Normal"/>
    <w:link w:val="TextonotapieCar"/>
    <w:semiHidden/>
    <w:rsid w:val="000C533F"/>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semiHidden/>
    <w:rsid w:val="000C533F"/>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0C533F"/>
    <w:rPr>
      <w:vertAlign w:val="superscript"/>
    </w:rPr>
  </w:style>
  <w:style w:type="character" w:styleId="Hipervnculo">
    <w:name w:val="Hyperlink"/>
    <w:basedOn w:val="Fuentedeprrafopredeter"/>
    <w:rsid w:val="000C533F"/>
    <w:rPr>
      <w:color w:val="0000FF"/>
      <w:u w:val="single"/>
    </w:rPr>
  </w:style>
  <w:style w:type="character" w:styleId="nfasis">
    <w:name w:val="Emphasis"/>
    <w:basedOn w:val="Fuentedeprrafopredeter"/>
    <w:uiPriority w:val="20"/>
    <w:qFormat/>
    <w:rsid w:val="000C533F"/>
    <w:rPr>
      <w:i/>
      <w:iCs/>
    </w:rPr>
  </w:style>
  <w:style w:type="character" w:customStyle="1" w:styleId="apple-converted-space">
    <w:name w:val="apple-converted-space"/>
    <w:basedOn w:val="Fuentedeprrafopredeter"/>
    <w:rsid w:val="000C533F"/>
  </w:style>
  <w:style w:type="paragraph" w:styleId="NormalWeb">
    <w:name w:val="Normal (Web)"/>
    <w:basedOn w:val="Normal"/>
    <w:uiPriority w:val="99"/>
    <w:unhideWhenUsed/>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qFormat/>
    <w:rsid w:val="000C533F"/>
    <w:pPr>
      <w:spacing w:after="0" w:line="240" w:lineRule="auto"/>
      <w:ind w:left="720"/>
      <w:contextualSpacing/>
    </w:pPr>
    <w:rPr>
      <w:rFonts w:ascii="Times New Roman" w:eastAsia="Times New Roman" w:hAnsi="Times New Roman" w:cs="Times New Roman"/>
      <w:sz w:val="24"/>
      <w:szCs w:val="24"/>
      <w:lang w:eastAsia="es-ES"/>
    </w:rPr>
  </w:style>
  <w:style w:type="table" w:styleId="Tablaconcuadrcula">
    <w:name w:val="Table Grid"/>
    <w:basedOn w:val="Tablanormal"/>
    <w:rsid w:val="000C53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0C533F"/>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0C533F"/>
    <w:rPr>
      <w:rFonts w:ascii="Times New Roman" w:eastAsia="Times New Roman" w:hAnsi="Times New Roman" w:cs="Times New Roman"/>
      <w:sz w:val="24"/>
      <w:szCs w:val="24"/>
      <w:lang w:eastAsia="es-ES"/>
    </w:rPr>
  </w:style>
  <w:style w:type="character" w:styleId="Nmerodepgina">
    <w:name w:val="page number"/>
    <w:basedOn w:val="Fuentedeprrafopredeter"/>
    <w:rsid w:val="000C533F"/>
  </w:style>
  <w:style w:type="character" w:customStyle="1" w:styleId="grame">
    <w:name w:val="grame"/>
    <w:basedOn w:val="Fuentedeprrafopredeter"/>
    <w:rsid w:val="000C533F"/>
  </w:style>
  <w:style w:type="character" w:styleId="MquinadeescribirHTML">
    <w:name w:val="HTML Typewriter"/>
    <w:basedOn w:val="Fuentedeprrafopredeter"/>
    <w:unhideWhenUsed/>
    <w:rsid w:val="000C533F"/>
    <w:rPr>
      <w:rFonts w:ascii="Courier New" w:eastAsia="Times New Roman" w:hAnsi="Courier New" w:cs="Courier New"/>
      <w:sz w:val="20"/>
      <w:szCs w:val="20"/>
    </w:rPr>
  </w:style>
  <w:style w:type="paragraph" w:styleId="Textocomentario">
    <w:name w:val="annotation text"/>
    <w:basedOn w:val="Normal"/>
    <w:link w:val="TextocomentarioCar"/>
    <w:semiHidden/>
    <w:rsid w:val="000C533F"/>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semiHidden/>
    <w:rsid w:val="000C533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0C533F"/>
    <w:rPr>
      <w:b/>
      <w:bCs/>
    </w:rPr>
  </w:style>
  <w:style w:type="character" w:customStyle="1" w:styleId="AsuntodelcomentarioCar">
    <w:name w:val="Asunto del comentario Car"/>
    <w:basedOn w:val="TextocomentarioCar"/>
    <w:link w:val="Asuntodelcomentario"/>
    <w:semiHidden/>
    <w:rsid w:val="000C533F"/>
    <w:rPr>
      <w:rFonts w:ascii="Times New Roman" w:eastAsia="Times New Roman" w:hAnsi="Times New Roman" w:cs="Times New Roman"/>
      <w:b/>
      <w:bCs/>
      <w:sz w:val="20"/>
      <w:szCs w:val="20"/>
      <w:lang w:eastAsia="es-ES"/>
    </w:rPr>
  </w:style>
  <w:style w:type="paragraph" w:styleId="Textodeglobo">
    <w:name w:val="Balloon Text"/>
    <w:basedOn w:val="Normal"/>
    <w:link w:val="TextodegloboCar"/>
    <w:semiHidden/>
    <w:rsid w:val="000C533F"/>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semiHidden/>
    <w:rsid w:val="000C533F"/>
    <w:rPr>
      <w:rFonts w:ascii="Tahoma" w:eastAsia="Times New Roman" w:hAnsi="Tahoma" w:cs="Times New Roman"/>
      <w:sz w:val="16"/>
      <w:szCs w:val="16"/>
      <w:lang w:eastAsia="es-ES"/>
    </w:rPr>
  </w:style>
  <w:style w:type="character" w:styleId="Textoennegrita">
    <w:name w:val="Strong"/>
    <w:basedOn w:val="Fuentedeprrafopredeter"/>
    <w:uiPriority w:val="22"/>
    <w:qFormat/>
    <w:rsid w:val="000C533F"/>
    <w:rPr>
      <w:b/>
      <w:bCs/>
      <w:i w:val="0"/>
      <w:iCs w:val="0"/>
    </w:rPr>
  </w:style>
  <w:style w:type="character" w:styleId="Hipervnculovisitado">
    <w:name w:val="FollowedHyperlink"/>
    <w:basedOn w:val="Fuentedeprrafopredeter"/>
    <w:rsid w:val="000C533F"/>
    <w:rPr>
      <w:color w:val="800080"/>
      <w:u w:val="single"/>
    </w:rPr>
  </w:style>
  <w:style w:type="character" w:customStyle="1" w:styleId="CarCar5">
    <w:name w:val="Car Car5"/>
    <w:basedOn w:val="Fuentedeprrafopredeter"/>
    <w:rsid w:val="000C533F"/>
    <w:rPr>
      <w:rFonts w:ascii="Cambria" w:eastAsia="Times New Roman" w:hAnsi="Cambria" w:cs="Times New Roman"/>
      <w:b/>
      <w:bCs/>
      <w:kern w:val="32"/>
      <w:sz w:val="32"/>
      <w:szCs w:val="32"/>
    </w:rPr>
  </w:style>
  <w:style w:type="character" w:customStyle="1" w:styleId="skypepnhtextspan">
    <w:name w:val="skype_pnh_text_span"/>
    <w:basedOn w:val="Fuentedeprrafopredeter"/>
    <w:rsid w:val="000C533F"/>
  </w:style>
  <w:style w:type="character" w:customStyle="1" w:styleId="skypepnhrightspan">
    <w:name w:val="skype_pnh_right_span"/>
    <w:basedOn w:val="Fuentedeprrafopredeter"/>
    <w:rsid w:val="000C533F"/>
  </w:style>
  <w:style w:type="paragraph" w:customStyle="1" w:styleId="coeheading1">
    <w:name w:val="coe_heading1"/>
    <w:basedOn w:val="Normal"/>
    <w:rsid w:val="000C533F"/>
    <w:pPr>
      <w:spacing w:before="100" w:beforeAutospacing="1" w:after="100" w:afterAutospacing="1" w:line="240" w:lineRule="auto"/>
    </w:pPr>
    <w:rPr>
      <w:rFonts w:ascii="Times New Roman" w:eastAsia="Calibri" w:hAnsi="Times New Roman" w:cs="Times New Roman"/>
      <w:sz w:val="24"/>
      <w:szCs w:val="24"/>
      <w:lang w:eastAsia="es-ES"/>
    </w:rPr>
  </w:style>
  <w:style w:type="character" w:customStyle="1" w:styleId="corchete-llamada1">
    <w:name w:val="corchete-llamada1"/>
    <w:basedOn w:val="Fuentedeprrafopredeter"/>
    <w:rsid w:val="000C533F"/>
    <w:rPr>
      <w:vanish/>
      <w:webHidden w:val="0"/>
      <w:specVanish w:val="0"/>
    </w:rPr>
  </w:style>
  <w:style w:type="character" w:customStyle="1" w:styleId="bodytext1">
    <w:name w:val="bodytext1"/>
    <w:basedOn w:val="Fuentedeprrafopredeter"/>
    <w:rsid w:val="000C533F"/>
  </w:style>
  <w:style w:type="paragraph" w:styleId="Encabezado">
    <w:name w:val="header"/>
    <w:basedOn w:val="Normal"/>
    <w:link w:val="EncabezadoCar"/>
    <w:rsid w:val="000C533F"/>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0C533F"/>
    <w:rPr>
      <w:rFonts w:ascii="Times New Roman" w:eastAsia="Times New Roman" w:hAnsi="Times New Roman" w:cs="Times New Roman"/>
      <w:sz w:val="24"/>
      <w:szCs w:val="24"/>
      <w:lang w:eastAsia="es-ES"/>
    </w:rPr>
  </w:style>
  <w:style w:type="paragraph" w:customStyle="1" w:styleId="chapo">
    <w:name w:val="chapo"/>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pip">
    <w:name w:val="spip"/>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31">
    <w:name w:val="Body Text 31"/>
    <w:basedOn w:val="Normal"/>
    <w:rsid w:val="000C533F"/>
    <w:pPr>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GB" w:eastAsia="fr-FR"/>
    </w:rPr>
  </w:style>
  <w:style w:type="paragraph" w:styleId="Textoindependiente3">
    <w:name w:val="Body Text 3"/>
    <w:basedOn w:val="Normal"/>
    <w:link w:val="Textoindependiente3Car"/>
    <w:rsid w:val="000C533F"/>
    <w:pPr>
      <w:autoSpaceDE w:val="0"/>
      <w:autoSpaceDN w:val="0"/>
      <w:adjustRightInd w:val="0"/>
      <w:spacing w:after="0" w:line="240" w:lineRule="auto"/>
      <w:jc w:val="both"/>
    </w:pPr>
    <w:rPr>
      <w:rFonts w:ascii="Arial" w:eastAsia="Times New Roman" w:hAnsi="Arial" w:cs="Times New Roman"/>
      <w:b/>
      <w:sz w:val="20"/>
      <w:szCs w:val="24"/>
      <w:lang w:val="fr-FR"/>
    </w:rPr>
  </w:style>
  <w:style w:type="character" w:customStyle="1" w:styleId="Textoindependiente3Car">
    <w:name w:val="Texto independiente 3 Car"/>
    <w:basedOn w:val="Fuentedeprrafopredeter"/>
    <w:link w:val="Textoindependiente3"/>
    <w:rsid w:val="000C533F"/>
    <w:rPr>
      <w:rFonts w:ascii="Arial" w:eastAsia="Times New Roman" w:hAnsi="Arial" w:cs="Times New Roman"/>
      <w:b/>
      <w:sz w:val="20"/>
      <w:szCs w:val="24"/>
      <w:lang w:val="fr-FR"/>
    </w:rPr>
  </w:style>
  <w:style w:type="paragraph" w:customStyle="1" w:styleId="Default">
    <w:name w:val="Default"/>
    <w:rsid w:val="000C533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Pa3">
    <w:name w:val="Pa3"/>
    <w:basedOn w:val="Default"/>
    <w:next w:val="Default"/>
    <w:rsid w:val="000C533F"/>
    <w:pPr>
      <w:spacing w:line="191" w:lineRule="atLeast"/>
    </w:pPr>
    <w:rPr>
      <w:color w:val="auto"/>
    </w:rPr>
  </w:style>
  <w:style w:type="paragraph" w:customStyle="1" w:styleId="Pa4">
    <w:name w:val="Pa4"/>
    <w:basedOn w:val="Default"/>
    <w:next w:val="Default"/>
    <w:rsid w:val="000C533F"/>
    <w:pPr>
      <w:spacing w:line="191" w:lineRule="atLeast"/>
    </w:pPr>
    <w:rPr>
      <w:color w:val="auto"/>
    </w:rPr>
  </w:style>
  <w:style w:type="character" w:customStyle="1" w:styleId="CarCar6">
    <w:name w:val="Car Car6"/>
    <w:basedOn w:val="Fuentedeprrafopredeter"/>
    <w:rsid w:val="000C533F"/>
    <w:rPr>
      <w:b/>
      <w:bCs/>
      <w:sz w:val="27"/>
      <w:szCs w:val="27"/>
      <w:lang w:val="es-ES" w:eastAsia="es-ES" w:bidi="ar-SA"/>
    </w:rPr>
  </w:style>
  <w:style w:type="character" w:styleId="CdigoHTML">
    <w:name w:val="HTML Code"/>
    <w:basedOn w:val="Fuentedeprrafopredeter"/>
    <w:rsid w:val="000C533F"/>
    <w:rPr>
      <w:rFonts w:ascii="Courier New" w:hAnsi="Courier New" w:cs="Courier New"/>
      <w:sz w:val="20"/>
      <w:szCs w:val="20"/>
    </w:rPr>
  </w:style>
  <w:style w:type="character" w:customStyle="1" w:styleId="corchete-llamada">
    <w:name w:val="corchete-llamada"/>
    <w:basedOn w:val="Fuentedeprrafopredeter"/>
    <w:rsid w:val="000C533F"/>
    <w:rPr>
      <w:rFonts w:cs="Times New Roman"/>
    </w:rPr>
  </w:style>
  <w:style w:type="character" w:customStyle="1" w:styleId="mw-headline">
    <w:name w:val="mw-headline"/>
    <w:basedOn w:val="Fuentedeprrafopredeter"/>
    <w:rsid w:val="000C533F"/>
    <w:rPr>
      <w:rFonts w:cs="Times New Roman"/>
    </w:rPr>
  </w:style>
  <w:style w:type="character" w:customStyle="1" w:styleId="editsection">
    <w:name w:val="editsection"/>
    <w:basedOn w:val="Fuentedeprrafopredeter"/>
    <w:rsid w:val="000C533F"/>
    <w:rPr>
      <w:rFonts w:cs="Times New Roman"/>
    </w:rPr>
  </w:style>
  <w:style w:type="character" w:customStyle="1" w:styleId="blsp-spelling-error">
    <w:name w:val="blsp-spelling-error"/>
    <w:basedOn w:val="Fuentedeprrafopredeter"/>
    <w:rsid w:val="000C533F"/>
    <w:rPr>
      <w:rFonts w:cs="Times New Roman"/>
    </w:rPr>
  </w:style>
  <w:style w:type="character" w:customStyle="1" w:styleId="titppal">
    <w:name w:val="titppal"/>
    <w:basedOn w:val="Fuentedeprrafopredeter"/>
    <w:rsid w:val="000C533F"/>
  </w:style>
  <w:style w:type="paragraph" w:customStyle="1" w:styleId="Prrafodelista1">
    <w:name w:val="Párrafo de lista1"/>
    <w:basedOn w:val="Normal"/>
    <w:qFormat/>
    <w:rsid w:val="000C533F"/>
    <w:pPr>
      <w:spacing w:after="0" w:line="240" w:lineRule="auto"/>
      <w:ind w:left="708"/>
    </w:pPr>
    <w:rPr>
      <w:rFonts w:ascii="Times New Roman" w:eastAsia="Times New Roman" w:hAnsi="Times New Roman" w:cs="Times New Roman"/>
      <w:sz w:val="24"/>
      <w:szCs w:val="24"/>
      <w:lang w:eastAsia="es-ES"/>
    </w:rPr>
  </w:style>
  <w:style w:type="paragraph" w:customStyle="1" w:styleId="bodytext">
    <w:name w:val="bodytext"/>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0C533F"/>
    <w:pPr>
      <w:widowControl w:val="0"/>
      <w:autoSpaceDE w:val="0"/>
      <w:autoSpaceDN w:val="0"/>
      <w:adjustRightInd w:val="0"/>
      <w:spacing w:after="0" w:line="360" w:lineRule="auto"/>
      <w:ind w:firstLine="708"/>
      <w:jc w:val="both"/>
    </w:pPr>
    <w:rPr>
      <w:rFonts w:ascii="Garamond" w:eastAsia="Times New Roman" w:hAnsi="Garamond" w:cs="Times New Roman"/>
      <w:sz w:val="24"/>
      <w:szCs w:val="24"/>
      <w:lang w:eastAsia="es-ES"/>
    </w:rPr>
  </w:style>
  <w:style w:type="character" w:customStyle="1" w:styleId="SangradetextonormalCar">
    <w:name w:val="Sangría de texto normal Car"/>
    <w:basedOn w:val="Fuentedeprrafopredeter"/>
    <w:link w:val="Sangradetextonormal"/>
    <w:rsid w:val="000C533F"/>
    <w:rPr>
      <w:rFonts w:ascii="Garamond" w:eastAsia="Times New Roman" w:hAnsi="Garamond" w:cs="Times New Roman"/>
      <w:sz w:val="24"/>
      <w:szCs w:val="24"/>
      <w:lang w:eastAsia="es-ES"/>
    </w:rPr>
  </w:style>
  <w:style w:type="paragraph" w:styleId="HTMLconformatoprevio">
    <w:name w:val="HTML Preformatted"/>
    <w:basedOn w:val="Normal"/>
    <w:link w:val="HTMLconformatoprevioCar"/>
    <w:rsid w:val="000C53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0C533F"/>
    <w:rPr>
      <w:rFonts w:ascii="Courier New" w:eastAsia="Times New Roman" w:hAnsi="Courier New" w:cs="Courier New"/>
      <w:sz w:val="20"/>
      <w:szCs w:val="20"/>
      <w:lang w:eastAsia="es-ES"/>
    </w:rPr>
  </w:style>
  <w:style w:type="character" w:customStyle="1" w:styleId="nolink">
    <w:name w:val="nolink"/>
    <w:basedOn w:val="Fuentedeprrafopredeter"/>
    <w:rsid w:val="000C533F"/>
  </w:style>
  <w:style w:type="paragraph" w:customStyle="1" w:styleId="Pa8">
    <w:name w:val="Pa8"/>
    <w:basedOn w:val="Normal"/>
    <w:next w:val="Normal"/>
    <w:rsid w:val="000C533F"/>
    <w:pPr>
      <w:autoSpaceDE w:val="0"/>
      <w:autoSpaceDN w:val="0"/>
      <w:adjustRightInd w:val="0"/>
      <w:spacing w:after="0" w:line="221" w:lineRule="atLeast"/>
    </w:pPr>
    <w:rPr>
      <w:rFonts w:ascii="Adobe Garamond Pro" w:eastAsia="Times New Roman" w:hAnsi="Adobe Garamond Pro" w:cs="Times New Roman"/>
      <w:sz w:val="24"/>
      <w:szCs w:val="24"/>
      <w:lang w:eastAsia="es-ES"/>
    </w:rPr>
  </w:style>
  <w:style w:type="character" w:customStyle="1" w:styleId="A9">
    <w:name w:val="A9"/>
    <w:rsid w:val="000C533F"/>
    <w:rPr>
      <w:rFonts w:cs="Adobe Garamond Pro"/>
      <w:color w:val="000000"/>
      <w:sz w:val="12"/>
      <w:szCs w:val="12"/>
    </w:rPr>
  </w:style>
  <w:style w:type="character" w:styleId="CitaHTML">
    <w:name w:val="HTML Cite"/>
    <w:basedOn w:val="Fuentedeprrafopredeter"/>
    <w:rsid w:val="000C533F"/>
    <w:rPr>
      <w:i/>
      <w:iCs/>
    </w:rPr>
  </w:style>
  <w:style w:type="character" w:customStyle="1" w:styleId="FootnoteTextChar1">
    <w:name w:val="Footnote Text Char1"/>
    <w:basedOn w:val="Fuentedeprrafopredeter"/>
    <w:semiHidden/>
    <w:locked/>
    <w:rsid w:val="000C533F"/>
    <w:rPr>
      <w:rFonts w:cs="Times New Roman"/>
      <w:lang w:val="es-ES" w:eastAsia="es-ES" w:bidi="ar-SA"/>
    </w:rPr>
  </w:style>
  <w:style w:type="character" w:styleId="AcrnimoHTML">
    <w:name w:val="HTML Acronym"/>
    <w:basedOn w:val="Fuentedeprrafopredeter"/>
    <w:rsid w:val="000C533F"/>
    <w:rPr>
      <w:rFonts w:cs="Times New Roman"/>
    </w:rPr>
  </w:style>
  <w:style w:type="character" w:customStyle="1" w:styleId="Heading2Char">
    <w:name w:val="Heading 2 Char"/>
    <w:basedOn w:val="Fuentedeprrafopredeter"/>
    <w:locked/>
    <w:rsid w:val="000C533F"/>
    <w:rPr>
      <w:rFonts w:ascii="Times New Roman" w:hAnsi="Times New Roman" w:cs="Times New Roman"/>
      <w:sz w:val="20"/>
      <w:szCs w:val="20"/>
      <w:lang w:eastAsia="es-ES"/>
    </w:rPr>
  </w:style>
  <w:style w:type="paragraph" w:customStyle="1" w:styleId="bibliografa">
    <w:name w:val="bibliografa"/>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30eec3f8">
    <w:name w:val="s30eec3f8"/>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b8d990e2">
    <w:name w:val="sb8d990e2"/>
    <w:basedOn w:val="Fuentedeprrafopredeter"/>
    <w:rsid w:val="000C533F"/>
  </w:style>
  <w:style w:type="character" w:customStyle="1" w:styleId="s6b621b36">
    <w:name w:val="s6b621b36"/>
    <w:basedOn w:val="Fuentedeprrafopredeter"/>
    <w:rsid w:val="000C533F"/>
  </w:style>
  <w:style w:type="paragraph" w:styleId="DireccinHTML">
    <w:name w:val="HTML Address"/>
    <w:basedOn w:val="Normal"/>
    <w:link w:val="DireccinHTMLCar"/>
    <w:uiPriority w:val="99"/>
    <w:semiHidden/>
    <w:unhideWhenUsed/>
    <w:rsid w:val="000C533F"/>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semiHidden/>
    <w:rsid w:val="000C533F"/>
    <w:rPr>
      <w:rFonts w:ascii="Times New Roman" w:eastAsia="Times New Roman" w:hAnsi="Times New Roman" w:cs="Times New Roman"/>
      <w:i/>
      <w:iCs/>
      <w:sz w:val="24"/>
      <w:szCs w:val="24"/>
      <w:lang w:eastAsia="es-ES"/>
    </w:rPr>
  </w:style>
  <w:style w:type="character" w:customStyle="1" w:styleId="author">
    <w:name w:val="author"/>
    <w:basedOn w:val="Fuentedeprrafopredeter"/>
    <w:rsid w:val="000C533F"/>
  </w:style>
  <w:style w:type="character" w:customStyle="1" w:styleId="meta-date-url">
    <w:name w:val="meta-date-url"/>
    <w:basedOn w:val="Fuentedeprrafopredeter"/>
    <w:rsid w:val="000C533F"/>
  </w:style>
  <w:style w:type="character" w:customStyle="1" w:styleId="entry-date">
    <w:name w:val="entry-date"/>
    <w:basedOn w:val="Fuentedeprrafopredeter"/>
    <w:rsid w:val="000C533F"/>
  </w:style>
  <w:style w:type="paragraph" w:styleId="Listaconvietas">
    <w:name w:val="List Bullet"/>
    <w:basedOn w:val="Normal"/>
    <w:uiPriority w:val="99"/>
    <w:unhideWhenUsed/>
    <w:rsid w:val="000C533F"/>
    <w:pPr>
      <w:numPr>
        <w:numId w:val="7"/>
      </w:numPr>
      <w:contextualSpacing/>
    </w:pPr>
  </w:style>
  <w:style w:type="paragraph" w:customStyle="1" w:styleId="parrafo">
    <w:name w:val="parrafo"/>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
    <w:name w:val="a"/>
    <w:basedOn w:val="Normal"/>
    <w:rsid w:val="000C53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ingleTxtG">
    <w:name w:val="_ Single Txt_G"/>
    <w:basedOn w:val="Normal"/>
    <w:rsid w:val="000C533F"/>
    <w:pPr>
      <w:spacing w:after="120" w:line="240" w:lineRule="atLeast"/>
      <w:ind w:left="1134" w:right="1134"/>
      <w:jc w:val="both"/>
    </w:pPr>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0246A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267637">
      <w:bodyDiv w:val="1"/>
      <w:marLeft w:val="0"/>
      <w:marRight w:val="0"/>
      <w:marTop w:val="0"/>
      <w:marBottom w:val="0"/>
      <w:divBdr>
        <w:top w:val="none" w:sz="0" w:space="0" w:color="auto"/>
        <w:left w:val="none" w:sz="0" w:space="0" w:color="auto"/>
        <w:bottom w:val="none" w:sz="0" w:space="0" w:color="auto"/>
        <w:right w:val="none" w:sz="0" w:space="0" w:color="auto"/>
      </w:divBdr>
      <w:divsChild>
        <w:div w:id="167522601">
          <w:marLeft w:val="0"/>
          <w:marRight w:val="0"/>
          <w:marTop w:val="0"/>
          <w:marBottom w:val="0"/>
          <w:divBdr>
            <w:top w:val="none" w:sz="0" w:space="0" w:color="auto"/>
            <w:left w:val="single" w:sz="6" w:space="0" w:color="000000"/>
            <w:bottom w:val="none" w:sz="0" w:space="0" w:color="auto"/>
            <w:right w:val="single" w:sz="6" w:space="0" w:color="000000"/>
          </w:divBdr>
          <w:divsChild>
            <w:div w:id="1620643808">
              <w:marLeft w:val="0"/>
              <w:marRight w:val="0"/>
              <w:marTop w:val="100"/>
              <w:marBottom w:val="100"/>
              <w:divBdr>
                <w:top w:val="none" w:sz="0" w:space="0" w:color="auto"/>
                <w:left w:val="none" w:sz="0" w:space="0" w:color="auto"/>
                <w:bottom w:val="none" w:sz="0" w:space="0" w:color="auto"/>
                <w:right w:val="none" w:sz="0" w:space="0" w:color="auto"/>
              </w:divBdr>
              <w:divsChild>
                <w:div w:id="97533117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94142">
      <w:bodyDiv w:val="1"/>
      <w:marLeft w:val="0"/>
      <w:marRight w:val="0"/>
      <w:marTop w:val="0"/>
      <w:marBottom w:val="0"/>
      <w:divBdr>
        <w:top w:val="none" w:sz="0" w:space="0" w:color="auto"/>
        <w:left w:val="none" w:sz="0" w:space="0" w:color="auto"/>
        <w:bottom w:val="none" w:sz="0" w:space="0" w:color="auto"/>
        <w:right w:val="none" w:sz="0" w:space="0" w:color="auto"/>
      </w:divBdr>
      <w:divsChild>
        <w:div w:id="1977833566">
          <w:marLeft w:val="0"/>
          <w:marRight w:val="0"/>
          <w:marTop w:val="0"/>
          <w:marBottom w:val="0"/>
          <w:divBdr>
            <w:top w:val="none" w:sz="0" w:space="0" w:color="auto"/>
            <w:left w:val="none" w:sz="0" w:space="0" w:color="auto"/>
            <w:bottom w:val="none" w:sz="0" w:space="0" w:color="auto"/>
            <w:right w:val="none" w:sz="0" w:space="0" w:color="auto"/>
          </w:divBdr>
          <w:divsChild>
            <w:div w:id="62070672">
              <w:marLeft w:val="0"/>
              <w:marRight w:val="0"/>
              <w:marTop w:val="0"/>
              <w:marBottom w:val="0"/>
              <w:divBdr>
                <w:top w:val="none" w:sz="0" w:space="0" w:color="auto"/>
                <w:left w:val="none" w:sz="0" w:space="0" w:color="auto"/>
                <w:bottom w:val="none" w:sz="0" w:space="0" w:color="auto"/>
                <w:right w:val="none" w:sz="0" w:space="0" w:color="auto"/>
              </w:divBdr>
              <w:divsChild>
                <w:div w:id="1301612898">
                  <w:marLeft w:val="0"/>
                  <w:marRight w:val="0"/>
                  <w:marTop w:val="0"/>
                  <w:marBottom w:val="0"/>
                  <w:divBdr>
                    <w:top w:val="none" w:sz="0" w:space="0" w:color="auto"/>
                    <w:left w:val="none" w:sz="0" w:space="0" w:color="auto"/>
                    <w:bottom w:val="none" w:sz="0" w:space="0" w:color="auto"/>
                    <w:right w:val="none" w:sz="0" w:space="0" w:color="auto"/>
                  </w:divBdr>
                  <w:divsChild>
                    <w:div w:id="576288101">
                      <w:marLeft w:val="0"/>
                      <w:marRight w:val="0"/>
                      <w:marTop w:val="0"/>
                      <w:marBottom w:val="0"/>
                      <w:divBdr>
                        <w:top w:val="none" w:sz="0" w:space="0" w:color="auto"/>
                        <w:left w:val="none" w:sz="0" w:space="0" w:color="auto"/>
                        <w:bottom w:val="none" w:sz="0" w:space="0" w:color="auto"/>
                        <w:right w:val="none" w:sz="0" w:space="0" w:color="auto"/>
                      </w:divBdr>
                      <w:divsChild>
                        <w:div w:id="1471709104">
                          <w:marLeft w:val="0"/>
                          <w:marRight w:val="0"/>
                          <w:marTop w:val="0"/>
                          <w:marBottom w:val="0"/>
                          <w:divBdr>
                            <w:top w:val="none" w:sz="0" w:space="0" w:color="auto"/>
                            <w:left w:val="none" w:sz="0" w:space="0" w:color="auto"/>
                            <w:bottom w:val="none" w:sz="0" w:space="0" w:color="auto"/>
                            <w:right w:val="none" w:sz="0" w:space="0" w:color="auto"/>
                          </w:divBdr>
                          <w:divsChild>
                            <w:div w:id="1880162927">
                              <w:marLeft w:val="0"/>
                              <w:marRight w:val="0"/>
                              <w:marTop w:val="0"/>
                              <w:marBottom w:val="0"/>
                              <w:divBdr>
                                <w:top w:val="none" w:sz="0" w:space="0" w:color="auto"/>
                                <w:left w:val="none" w:sz="0" w:space="0" w:color="auto"/>
                                <w:bottom w:val="none" w:sz="0" w:space="0" w:color="auto"/>
                                <w:right w:val="none" w:sz="0" w:space="0" w:color="auto"/>
                              </w:divBdr>
                              <w:divsChild>
                                <w:div w:id="2042509072">
                                  <w:marLeft w:val="0"/>
                                  <w:marRight w:val="0"/>
                                  <w:marTop w:val="0"/>
                                  <w:marBottom w:val="0"/>
                                  <w:divBdr>
                                    <w:top w:val="none" w:sz="0" w:space="0" w:color="auto"/>
                                    <w:left w:val="none" w:sz="0" w:space="0" w:color="auto"/>
                                    <w:bottom w:val="none" w:sz="0" w:space="0" w:color="auto"/>
                                    <w:right w:val="none" w:sz="0" w:space="0" w:color="auto"/>
                                  </w:divBdr>
                                  <w:divsChild>
                                    <w:div w:id="621493953">
                                      <w:marLeft w:val="0"/>
                                      <w:marRight w:val="0"/>
                                      <w:marTop w:val="0"/>
                                      <w:marBottom w:val="0"/>
                                      <w:divBdr>
                                        <w:top w:val="none" w:sz="0" w:space="0" w:color="auto"/>
                                        <w:left w:val="none" w:sz="0" w:space="0" w:color="auto"/>
                                        <w:bottom w:val="none" w:sz="0" w:space="0" w:color="auto"/>
                                        <w:right w:val="none" w:sz="0" w:space="0" w:color="auto"/>
                                      </w:divBdr>
                                      <w:divsChild>
                                        <w:div w:id="2132746413">
                                          <w:marLeft w:val="0"/>
                                          <w:marRight w:val="0"/>
                                          <w:marTop w:val="0"/>
                                          <w:marBottom w:val="0"/>
                                          <w:divBdr>
                                            <w:top w:val="none" w:sz="0" w:space="0" w:color="auto"/>
                                            <w:left w:val="none" w:sz="0" w:space="0" w:color="auto"/>
                                            <w:bottom w:val="none" w:sz="0" w:space="0" w:color="auto"/>
                                            <w:right w:val="none" w:sz="0" w:space="0" w:color="auto"/>
                                          </w:divBdr>
                                          <w:divsChild>
                                            <w:div w:id="1236284183">
                                              <w:marLeft w:val="0"/>
                                              <w:marRight w:val="0"/>
                                              <w:marTop w:val="600"/>
                                              <w:marBottom w:val="0"/>
                                              <w:divBdr>
                                                <w:top w:val="single" w:sz="6" w:space="0" w:color="DDDDDD"/>
                                                <w:left w:val="none" w:sz="0" w:space="0" w:color="auto"/>
                                                <w:bottom w:val="none" w:sz="0" w:space="0" w:color="auto"/>
                                                <w:right w:val="none" w:sz="0" w:space="0" w:color="auto"/>
                                              </w:divBdr>
                                              <w:divsChild>
                                                <w:div w:id="69423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1134767">
      <w:bodyDiv w:val="1"/>
      <w:marLeft w:val="0"/>
      <w:marRight w:val="0"/>
      <w:marTop w:val="0"/>
      <w:marBottom w:val="0"/>
      <w:divBdr>
        <w:top w:val="none" w:sz="0" w:space="0" w:color="auto"/>
        <w:left w:val="none" w:sz="0" w:space="0" w:color="auto"/>
        <w:bottom w:val="none" w:sz="0" w:space="0" w:color="auto"/>
        <w:right w:val="none" w:sz="0" w:space="0" w:color="auto"/>
      </w:divBdr>
      <w:divsChild>
        <w:div w:id="1648052350">
          <w:marLeft w:val="0"/>
          <w:marRight w:val="0"/>
          <w:marTop w:val="0"/>
          <w:marBottom w:val="0"/>
          <w:divBdr>
            <w:top w:val="none" w:sz="0" w:space="0" w:color="auto"/>
            <w:left w:val="single" w:sz="6" w:space="0" w:color="000000"/>
            <w:bottom w:val="none" w:sz="0" w:space="0" w:color="auto"/>
            <w:right w:val="single" w:sz="6" w:space="0" w:color="000000"/>
          </w:divBdr>
          <w:divsChild>
            <w:div w:id="1077358981">
              <w:marLeft w:val="0"/>
              <w:marRight w:val="0"/>
              <w:marTop w:val="100"/>
              <w:marBottom w:val="100"/>
              <w:divBdr>
                <w:top w:val="none" w:sz="0" w:space="0" w:color="auto"/>
                <w:left w:val="none" w:sz="0" w:space="0" w:color="auto"/>
                <w:bottom w:val="none" w:sz="0" w:space="0" w:color="auto"/>
                <w:right w:val="none" w:sz="0" w:space="0" w:color="auto"/>
              </w:divBdr>
              <w:divsChild>
                <w:div w:id="111845091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16341">
      <w:bodyDiv w:val="1"/>
      <w:marLeft w:val="0"/>
      <w:marRight w:val="0"/>
      <w:marTop w:val="0"/>
      <w:marBottom w:val="0"/>
      <w:divBdr>
        <w:top w:val="none" w:sz="0" w:space="0" w:color="auto"/>
        <w:left w:val="none" w:sz="0" w:space="0" w:color="auto"/>
        <w:bottom w:val="none" w:sz="0" w:space="0" w:color="auto"/>
        <w:right w:val="none" w:sz="0" w:space="0" w:color="auto"/>
      </w:divBdr>
      <w:divsChild>
        <w:div w:id="1722821641">
          <w:marLeft w:val="0"/>
          <w:marRight w:val="0"/>
          <w:marTop w:val="0"/>
          <w:marBottom w:val="0"/>
          <w:divBdr>
            <w:top w:val="none" w:sz="0" w:space="0" w:color="auto"/>
            <w:left w:val="none" w:sz="0" w:space="0" w:color="auto"/>
            <w:bottom w:val="none" w:sz="0" w:space="0" w:color="auto"/>
            <w:right w:val="none" w:sz="0" w:space="0" w:color="auto"/>
          </w:divBdr>
          <w:divsChild>
            <w:div w:id="2086412640">
              <w:marLeft w:val="0"/>
              <w:marRight w:val="0"/>
              <w:marTop w:val="0"/>
              <w:marBottom w:val="0"/>
              <w:divBdr>
                <w:top w:val="none" w:sz="0" w:space="0" w:color="auto"/>
                <w:left w:val="none" w:sz="0" w:space="0" w:color="auto"/>
                <w:bottom w:val="none" w:sz="0" w:space="0" w:color="auto"/>
                <w:right w:val="none" w:sz="0" w:space="0" w:color="auto"/>
              </w:divBdr>
              <w:divsChild>
                <w:div w:id="2119372974">
                  <w:marLeft w:val="0"/>
                  <w:marRight w:val="0"/>
                  <w:marTop w:val="0"/>
                  <w:marBottom w:val="0"/>
                  <w:divBdr>
                    <w:top w:val="none" w:sz="0" w:space="0" w:color="auto"/>
                    <w:left w:val="none" w:sz="0" w:space="0" w:color="auto"/>
                    <w:bottom w:val="none" w:sz="0" w:space="0" w:color="auto"/>
                    <w:right w:val="none" w:sz="0" w:space="0" w:color="auto"/>
                  </w:divBdr>
                  <w:divsChild>
                    <w:div w:id="1122990725">
                      <w:marLeft w:val="0"/>
                      <w:marRight w:val="0"/>
                      <w:marTop w:val="0"/>
                      <w:marBottom w:val="0"/>
                      <w:divBdr>
                        <w:top w:val="none" w:sz="0" w:space="0" w:color="auto"/>
                        <w:left w:val="none" w:sz="0" w:space="0" w:color="auto"/>
                        <w:bottom w:val="none" w:sz="0" w:space="0" w:color="auto"/>
                        <w:right w:val="none" w:sz="0" w:space="0" w:color="auto"/>
                      </w:divBdr>
                      <w:divsChild>
                        <w:div w:id="788625471">
                          <w:marLeft w:val="0"/>
                          <w:marRight w:val="0"/>
                          <w:marTop w:val="0"/>
                          <w:marBottom w:val="0"/>
                          <w:divBdr>
                            <w:top w:val="none" w:sz="0" w:space="0" w:color="auto"/>
                            <w:left w:val="none" w:sz="0" w:space="0" w:color="auto"/>
                            <w:bottom w:val="none" w:sz="0" w:space="0" w:color="auto"/>
                            <w:right w:val="none" w:sz="0" w:space="0" w:color="auto"/>
                          </w:divBdr>
                          <w:divsChild>
                            <w:div w:id="1412195800">
                              <w:marLeft w:val="0"/>
                              <w:marRight w:val="0"/>
                              <w:marTop w:val="0"/>
                              <w:marBottom w:val="0"/>
                              <w:divBdr>
                                <w:top w:val="none" w:sz="0" w:space="0" w:color="auto"/>
                                <w:left w:val="none" w:sz="0" w:space="0" w:color="auto"/>
                                <w:bottom w:val="none" w:sz="0" w:space="0" w:color="auto"/>
                                <w:right w:val="none" w:sz="0" w:space="0" w:color="auto"/>
                              </w:divBdr>
                              <w:divsChild>
                                <w:div w:id="619340078">
                                  <w:marLeft w:val="0"/>
                                  <w:marRight w:val="0"/>
                                  <w:marTop w:val="0"/>
                                  <w:marBottom w:val="0"/>
                                  <w:divBdr>
                                    <w:top w:val="none" w:sz="0" w:space="0" w:color="auto"/>
                                    <w:left w:val="none" w:sz="0" w:space="0" w:color="auto"/>
                                    <w:bottom w:val="none" w:sz="0" w:space="0" w:color="auto"/>
                                    <w:right w:val="none" w:sz="0" w:space="0" w:color="auto"/>
                                  </w:divBdr>
                                  <w:divsChild>
                                    <w:div w:id="431359314">
                                      <w:marLeft w:val="0"/>
                                      <w:marRight w:val="0"/>
                                      <w:marTop w:val="0"/>
                                      <w:marBottom w:val="0"/>
                                      <w:divBdr>
                                        <w:top w:val="none" w:sz="0" w:space="0" w:color="auto"/>
                                        <w:left w:val="none" w:sz="0" w:space="0" w:color="auto"/>
                                        <w:bottom w:val="none" w:sz="0" w:space="0" w:color="auto"/>
                                        <w:right w:val="none" w:sz="0" w:space="0" w:color="auto"/>
                                      </w:divBdr>
                                      <w:divsChild>
                                        <w:div w:id="1091707280">
                                          <w:marLeft w:val="0"/>
                                          <w:marRight w:val="0"/>
                                          <w:marTop w:val="0"/>
                                          <w:marBottom w:val="0"/>
                                          <w:divBdr>
                                            <w:top w:val="none" w:sz="0" w:space="0" w:color="auto"/>
                                            <w:left w:val="none" w:sz="0" w:space="0" w:color="auto"/>
                                            <w:bottom w:val="none" w:sz="0" w:space="0" w:color="auto"/>
                                            <w:right w:val="none" w:sz="0" w:space="0" w:color="auto"/>
                                          </w:divBdr>
                                          <w:divsChild>
                                            <w:div w:id="171919947">
                                              <w:marLeft w:val="0"/>
                                              <w:marRight w:val="0"/>
                                              <w:marTop w:val="600"/>
                                              <w:marBottom w:val="0"/>
                                              <w:divBdr>
                                                <w:top w:val="single" w:sz="6" w:space="0" w:color="DDDDDD"/>
                                                <w:left w:val="none" w:sz="0" w:space="0" w:color="auto"/>
                                                <w:bottom w:val="none" w:sz="0" w:space="0" w:color="auto"/>
                                                <w:right w:val="none" w:sz="0" w:space="0" w:color="auto"/>
                                              </w:divBdr>
                                              <w:divsChild>
                                                <w:div w:id="204197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1253950">
      <w:bodyDiv w:val="1"/>
      <w:marLeft w:val="0"/>
      <w:marRight w:val="0"/>
      <w:marTop w:val="0"/>
      <w:marBottom w:val="0"/>
      <w:divBdr>
        <w:top w:val="none" w:sz="0" w:space="0" w:color="auto"/>
        <w:left w:val="none" w:sz="0" w:space="0" w:color="auto"/>
        <w:bottom w:val="none" w:sz="0" w:space="0" w:color="auto"/>
        <w:right w:val="none" w:sz="0" w:space="0" w:color="auto"/>
      </w:divBdr>
    </w:div>
    <w:div w:id="167499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alnet.unirioja.es/ejemplar/114726" TargetMode="External"/><Relationship Id="rId5" Type="http://schemas.openxmlformats.org/officeDocument/2006/relationships/settings" Target="settings.xml"/><Relationship Id="rId10" Type="http://schemas.openxmlformats.org/officeDocument/2006/relationships/hyperlink" Target="https://dialnet.unirioja.es/servlet/revista?codigo=4627" TargetMode="External"/><Relationship Id="rId4" Type="http://schemas.microsoft.com/office/2007/relationships/stylesWithEffects" Target="stylesWithEffects.xml"/><Relationship Id="rId9" Type="http://schemas.openxmlformats.org/officeDocument/2006/relationships/hyperlink" Target="http://www.abogacia.es/2015/02/25/es-compatible-la-democracia-con-la-privacion-de-miles-de-votos-a-ciudadanos-discapacitado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0D6AA-2A75-4220-ABA7-368980384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25</Pages>
  <Words>10358</Words>
  <Characters>56975</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documentacion</dc:creator>
  <cp:lastModifiedBy>VICTOR PASCUAL PLANCHELO</cp:lastModifiedBy>
  <cp:revision>20</cp:revision>
  <dcterms:created xsi:type="dcterms:W3CDTF">2016-09-27T14:25:00Z</dcterms:created>
  <dcterms:modified xsi:type="dcterms:W3CDTF">2016-09-27T16:44:00Z</dcterms:modified>
</cp:coreProperties>
</file>